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净循环水系统成套设备项目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7</w:t>
      </w:r>
      <w:r>
        <w:rPr>
          <w:rFonts w:hint="eastAsia" w:ascii="仿宋" w:hAnsi="仿宋" w:eastAsia="仿宋"/>
          <w:sz w:val="28"/>
          <w:szCs w:val="28"/>
        </w:rPr>
        <w:t>日上午9:</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6</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2021年7</w:t>
      </w:r>
      <w:r>
        <w:rPr>
          <w:rFonts w:hint="eastAsia" w:ascii="仿宋" w:hAnsi="仿宋" w:eastAsia="仿宋" w:cs="仿宋"/>
          <w:sz w:val="28"/>
          <w:szCs w:val="28"/>
        </w:rPr>
        <w:t>月</w:t>
      </w:r>
      <w:r>
        <w:rPr>
          <w:rFonts w:hint="eastAsia" w:ascii="仿宋" w:hAnsi="仿宋" w:eastAsia="仿宋" w:cs="仿宋"/>
          <w:sz w:val="28"/>
          <w:szCs w:val="28"/>
          <w:lang w:val="en-US" w:eastAsia="zh-CN"/>
        </w:rPr>
        <w:t>6</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伍</w:t>
      </w:r>
      <w:r>
        <w:rPr>
          <w:rFonts w:hint="eastAsia" w:ascii="仿宋" w:hAnsi="仿宋" w:eastAsia="仿宋" w:cs="仿宋"/>
          <w:sz w:val="28"/>
          <w:szCs w:val="28"/>
        </w:rPr>
        <w:t>万元（￥</w:t>
      </w:r>
      <w:r>
        <w:rPr>
          <w:rFonts w:hint="eastAsia" w:ascii="仿宋" w:hAnsi="仿宋" w:eastAsia="仿宋" w:cs="仿宋"/>
          <w:sz w:val="28"/>
          <w:szCs w:val="28"/>
          <w:lang w:val="en-US" w:eastAsia="zh-CN"/>
        </w:rPr>
        <w:t>50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7</w:t>
      </w:r>
      <w:r>
        <w:rPr>
          <w:rFonts w:hint="eastAsia" w:ascii="仿宋" w:hAnsi="仿宋" w:eastAsia="仿宋"/>
          <w:sz w:val="28"/>
          <w:szCs w:val="28"/>
        </w:rPr>
        <w:t>日9: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7日</w:t>
      </w:r>
      <w:r>
        <w:rPr>
          <w:rFonts w:hint="eastAsia" w:ascii="仿宋" w:hAnsi="仿宋" w:eastAsia="仿宋"/>
          <w:sz w:val="28"/>
          <w:szCs w:val="28"/>
        </w:rPr>
        <w:t>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伍</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6</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净循环水系统成套设备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6" w:firstLineChars="198"/>
        <w:rPr>
          <w:rFonts w:ascii="仿宋_GB2312" w:hAnsi="宋体" w:eastAsia="仿宋_GB2312"/>
          <w:bCs/>
          <w:sz w:val="30"/>
          <w:szCs w:val="30"/>
        </w:rPr>
      </w:pPr>
      <w:r>
        <w:rPr>
          <w:rFonts w:ascii="新宋体" w:hAnsi="新宋体" w:eastAsia="新宋体"/>
          <w:b/>
          <w:bCs/>
          <w:sz w:val="30"/>
          <w:szCs w:val="30"/>
        </w:rPr>
        <w:br w:type="page"/>
      </w: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净循环水系统成套设备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lang w:eastAsia="zh-CN"/>
        </w:rPr>
      </w:pPr>
      <w:r>
        <w:rPr>
          <w:rFonts w:hint="eastAsia" w:ascii="仿宋_GB2312" w:hAnsi="宋体" w:eastAsia="仿宋_GB2312"/>
          <w:bCs/>
          <w:sz w:val="30"/>
          <w:szCs w:val="30"/>
        </w:rPr>
        <w:t>标的物：</w:t>
      </w:r>
      <w:r>
        <w:rPr>
          <w:rFonts w:hint="eastAsia" w:ascii="仿宋_GB2312" w:hAnsi="宋体" w:eastAsia="仿宋_GB2312"/>
          <w:bCs/>
          <w:sz w:val="30"/>
          <w:szCs w:val="30"/>
          <w:lang w:eastAsia="zh-CN"/>
        </w:rPr>
        <w:t>净循环水系统成套设备</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bookmarkStart w:id="0" w:name="_GoBack"/>
      <w:bookmarkEnd w:id="0"/>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napToGrid w:val="0"/>
        <w:spacing w:line="48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abstractNum w:abstractNumId="3">
    <w:nsid w:val="7CDC4D64"/>
    <w:multiLevelType w:val="singleLevel"/>
    <w:tmpl w:val="7CDC4D6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4D2A10"/>
    <w:rsid w:val="0B5A5381"/>
    <w:rsid w:val="0B7015F3"/>
    <w:rsid w:val="0B7446C8"/>
    <w:rsid w:val="0B7F4F8E"/>
    <w:rsid w:val="0C1F2A4D"/>
    <w:rsid w:val="0C235F6C"/>
    <w:rsid w:val="0CA862B1"/>
    <w:rsid w:val="0CAF130A"/>
    <w:rsid w:val="0D371522"/>
    <w:rsid w:val="0D39700C"/>
    <w:rsid w:val="0D76274C"/>
    <w:rsid w:val="0D7D1FA9"/>
    <w:rsid w:val="0D8B2651"/>
    <w:rsid w:val="0DC45AC1"/>
    <w:rsid w:val="0DFA0D7C"/>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086424"/>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8F0542E"/>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1F54BDA"/>
    <w:rsid w:val="320B4D7A"/>
    <w:rsid w:val="323C4A13"/>
    <w:rsid w:val="323C55FF"/>
    <w:rsid w:val="325E6770"/>
    <w:rsid w:val="328A5835"/>
    <w:rsid w:val="32CA5E04"/>
    <w:rsid w:val="331734FE"/>
    <w:rsid w:val="33B851E5"/>
    <w:rsid w:val="33BA4F73"/>
    <w:rsid w:val="33CD64AD"/>
    <w:rsid w:val="33FA164D"/>
    <w:rsid w:val="3435472F"/>
    <w:rsid w:val="3440223B"/>
    <w:rsid w:val="344B7329"/>
    <w:rsid w:val="34DC7C6C"/>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943F20"/>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D68C9"/>
    <w:rsid w:val="580525BF"/>
    <w:rsid w:val="58062017"/>
    <w:rsid w:val="585943F9"/>
    <w:rsid w:val="58796760"/>
    <w:rsid w:val="587D2383"/>
    <w:rsid w:val="58CD0BD9"/>
    <w:rsid w:val="58D72A8B"/>
    <w:rsid w:val="58E67CE3"/>
    <w:rsid w:val="59612E96"/>
    <w:rsid w:val="597A6EDE"/>
    <w:rsid w:val="59A836BE"/>
    <w:rsid w:val="59D14F7C"/>
    <w:rsid w:val="59ED51B8"/>
    <w:rsid w:val="5A0A51AB"/>
    <w:rsid w:val="5A1F4052"/>
    <w:rsid w:val="5A260312"/>
    <w:rsid w:val="5A41520F"/>
    <w:rsid w:val="5A6C2A96"/>
    <w:rsid w:val="5A87424D"/>
    <w:rsid w:val="5AC61820"/>
    <w:rsid w:val="5B3636D6"/>
    <w:rsid w:val="5B4662AC"/>
    <w:rsid w:val="5B81187D"/>
    <w:rsid w:val="5BBD30C7"/>
    <w:rsid w:val="5BD524AA"/>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0F506C"/>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1</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2021-04-08T09:04:00Z</cp:lastPrinted>
  <dcterms:modified xsi:type="dcterms:W3CDTF">2021-06-28T00:22:32Z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