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</w:t>
      </w:r>
      <w:r>
        <w:rPr>
          <w:rFonts w:hint="eastAsia" w:ascii="仿宋" w:hAnsi="仿宋" w:eastAsia="仿宋"/>
          <w:sz w:val="28"/>
          <w:szCs w:val="28"/>
          <w:lang w:eastAsia="zh-CN"/>
        </w:rPr>
        <w:t>河南万基铝业</w:t>
      </w:r>
      <w:r>
        <w:rPr>
          <w:rFonts w:hint="eastAsia" w:ascii="仿宋" w:hAnsi="仿宋" w:eastAsia="仿宋"/>
          <w:sz w:val="28"/>
          <w:szCs w:val="28"/>
        </w:rPr>
        <w:t>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阴极钢棒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阴极钢棒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227D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8A1088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2021-10-08T03:24:01Z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BA7C46250AA04090A56446F8107A76F9</vt:lpwstr>
  </property>
</Properties>
</file>