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388A49AB">
      <w:pPr>
        <w:spacing w:line="460" w:lineRule="exact"/>
        <w:jc w:val="left"/>
        <w:rPr>
          <w:rFonts w:hint="eastAsia"/>
          <w:lang w:eastAsia="zh-CN"/>
        </w:rPr>
      </w:pPr>
      <w:r>
        <w:rPr>
          <w:rFonts w:hint="eastAsia" w:ascii="仿宋" w:hAnsi="仿宋" w:eastAsia="仿宋"/>
          <w:sz w:val="28"/>
          <w:szCs w:val="28"/>
        </w:rPr>
        <w:t>各相关单位：</w:t>
      </w:r>
    </w:p>
    <w:p w14:paraId="4CA4D518">
      <w:pPr>
        <w:widowControl w:val="0"/>
        <w:snapToGrid/>
        <w:spacing w:after="0" w:line="360" w:lineRule="auto"/>
        <w:ind w:firstLine="560" w:firstLineChars="200"/>
        <w:jc w:val="both"/>
        <w:textAlignment w:val="baseline"/>
        <w:rPr>
          <w:rFonts w:ascii="仿宋" w:hAnsi="仿宋" w:eastAsia="仿宋"/>
          <w:sz w:val="28"/>
          <w:szCs w:val="28"/>
        </w:rPr>
      </w:pPr>
      <w:r>
        <w:rPr>
          <w:rFonts w:hint="eastAsia" w:ascii="仿宋" w:hAnsi="仿宋" w:eastAsia="仿宋"/>
          <w:sz w:val="28"/>
          <w:szCs w:val="28"/>
        </w:rPr>
        <w:t>万基控股集团有限公司招标办公室拟对宏远电力#2机组锅炉原煤仓分仓改造项目进行招标【招标编号：WJWZ-(2026)040</w:t>
      </w:r>
      <w:r>
        <w:rPr>
          <w:rFonts w:hint="eastAsia" w:ascii="仿宋" w:hAnsi="仿宋" w:eastAsia="仿宋"/>
          <w:sz w:val="28"/>
          <w:szCs w:val="28"/>
          <w:lang w:val="en-US" w:eastAsia="zh-CN"/>
        </w:rPr>
        <w:t>20</w:t>
      </w:r>
      <w:r>
        <w:rPr>
          <w:rFonts w:hint="eastAsia" w:ascii="仿宋" w:hAnsi="仿宋" w:eastAsia="仿宋"/>
          <w:sz w:val="28"/>
          <w:szCs w:val="28"/>
        </w:rPr>
        <w:t>】，有意参标单位请在</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26</w:t>
      </w:r>
      <w:r>
        <w:rPr>
          <w:rFonts w:hint="eastAsia"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时前通过电话或邮件通知招标联系人报名登记，并按招标人要求的时间缴纳投标保证金。</w:t>
      </w:r>
      <w:r>
        <w:rPr>
          <w:rFonts w:hint="eastAsia" w:ascii="仿宋" w:hAnsi="仿宋" w:eastAsia="仿宋"/>
          <w:b/>
          <w:color w:val="FF0000"/>
          <w:sz w:val="28"/>
          <w:szCs w:val="28"/>
        </w:rPr>
        <w:t>不接受未通过资质审核、未按时缴纳投标保证金单位的投标文件</w:t>
      </w:r>
      <w:r>
        <w:rPr>
          <w:rFonts w:hint="eastAsia" w:ascii="仿宋" w:hAnsi="仿宋" w:eastAsia="仿宋"/>
          <w:b/>
          <w:sz w:val="28"/>
          <w:szCs w:val="28"/>
        </w:rPr>
        <w:t xml:space="preserve">。 </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27</w:t>
      </w:r>
      <w:r>
        <w:rPr>
          <w:rFonts w:hint="eastAsia" w:ascii="仿宋" w:hAnsi="仿宋" w:eastAsia="仿宋"/>
          <w:b/>
          <w:color w:val="FF0000"/>
          <w:sz w:val="28"/>
          <w:szCs w:val="28"/>
        </w:rPr>
        <w:t>日</w:t>
      </w:r>
      <w:r>
        <w:rPr>
          <w:rFonts w:hint="eastAsia" w:ascii="仿宋" w:hAnsi="仿宋" w:eastAsia="仿宋"/>
          <w:b/>
          <w:color w:val="FF0000"/>
          <w:sz w:val="28"/>
          <w:szCs w:val="28"/>
          <w:lang w:val="en-US" w:eastAsia="zh-CN"/>
        </w:rPr>
        <w:t>下午3时</w:t>
      </w:r>
      <w:r>
        <w:rPr>
          <w:rFonts w:hint="eastAsia" w:ascii="仿宋" w:hAnsi="仿宋" w:eastAsia="仿宋"/>
          <w:b/>
          <w:color w:val="FF0000"/>
          <w:sz w:val="28"/>
          <w:szCs w:val="28"/>
        </w:rPr>
        <w:t>（北京时间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4</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26</w:t>
      </w:r>
      <w:r>
        <w:rPr>
          <w:rFonts w:hint="eastAsia" w:ascii="仿宋" w:hAnsi="仿宋" w:eastAsia="仿宋" w:cs="仿宋_GB2312"/>
          <w:b/>
          <w:color w:val="FF0000"/>
          <w:sz w:val="28"/>
          <w:szCs w:val="28"/>
        </w:rPr>
        <w:t>日下午</w:t>
      </w:r>
      <w:r>
        <w:rPr>
          <w:rFonts w:hint="eastAsia" w:ascii="仿宋" w:hAnsi="仿宋" w:eastAsia="仿宋" w:cs="仿宋_GB2312"/>
          <w:b/>
          <w:color w:val="FF0000"/>
          <w:sz w:val="28"/>
          <w:szCs w:val="28"/>
          <w:lang w:val="en-US" w:eastAsia="zh-CN"/>
        </w:rPr>
        <w:t>5</w:t>
      </w:r>
      <w:r>
        <w:rPr>
          <w:rFonts w:hint="eastAsia" w:ascii="仿宋" w:hAnsi="仿宋" w:eastAsia="仿宋" w:cs="仿宋_GB2312"/>
          <w:b/>
          <w:color w:val="FF0000"/>
          <w:sz w:val="28"/>
          <w:szCs w:val="28"/>
        </w:rPr>
        <w:t>时</w:t>
      </w:r>
    </w:p>
    <w:p w14:paraId="30C72D5D">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hint="eastAsia" w:ascii="仿宋" w:hAnsi="仿宋" w:eastAsia="仿宋"/>
          <w:sz w:val="28"/>
          <w:szCs w:val="28"/>
        </w:rPr>
        <w:t xml:space="preserve"> 15</w:t>
      </w:r>
      <w:r>
        <w:rPr>
          <w:rFonts w:hint="eastAsia" w:ascii="仿宋" w:hAnsi="仿宋" w:eastAsia="仿宋"/>
          <w:sz w:val="28"/>
          <w:szCs w:val="28"/>
          <w:lang w:val="en-US" w:eastAsia="zh-CN"/>
        </w:rPr>
        <w:t>8 0379 9052</w:t>
      </w:r>
      <w:r>
        <w:rPr>
          <w:rFonts w:ascii="仿宋" w:hAnsi="仿宋" w:eastAsia="仿宋"/>
          <w:sz w:val="28"/>
          <w:szCs w:val="28"/>
        </w:rPr>
        <w:t xml:space="preserve">  </w:t>
      </w:r>
      <w:r>
        <w:rPr>
          <w:rFonts w:hint="eastAsia" w:ascii="仿宋" w:hAnsi="仿宋" w:eastAsia="仿宋"/>
          <w:sz w:val="28"/>
          <w:szCs w:val="28"/>
        </w:rPr>
        <w:t>技术：</w:t>
      </w:r>
      <w:r>
        <w:rPr>
          <w:rFonts w:hint="eastAsia" w:ascii="仿宋" w:hAnsi="仿宋" w:eastAsia="仿宋"/>
          <w:sz w:val="28"/>
          <w:szCs w:val="28"/>
          <w:lang w:val="en-US" w:eastAsia="zh-CN"/>
        </w:rPr>
        <w:t>常世昌</w:t>
      </w:r>
      <w:r>
        <w:rPr>
          <w:rFonts w:hint="eastAsia" w:ascii="仿宋" w:hAnsi="仿宋" w:eastAsia="仿宋"/>
          <w:sz w:val="28"/>
          <w:szCs w:val="28"/>
        </w:rPr>
        <w:t xml:space="preserve"> </w:t>
      </w:r>
      <w:r>
        <w:rPr>
          <w:rFonts w:hint="eastAsia" w:ascii="仿宋" w:hAnsi="仿宋" w:eastAsia="仿宋"/>
          <w:sz w:val="28"/>
          <w:szCs w:val="28"/>
          <w:lang w:val="en-US" w:eastAsia="zh-CN"/>
        </w:rPr>
        <w:t>151 3793 8620</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58C94725">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的方式开标。参与投标，即视同完全响应招标文件</w:t>
      </w:r>
      <w:r>
        <w:rPr>
          <w:rFonts w:hint="eastAsia" w:ascii="仿宋" w:hAnsi="仿宋" w:eastAsia="仿宋"/>
          <w:color w:val="000000"/>
          <w:sz w:val="28"/>
          <w:szCs w:val="28"/>
          <w:lang w:eastAsia="zh-CN"/>
        </w:rPr>
        <w:t>。</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1</w:t>
      </w:r>
      <w:r>
        <w:rPr>
          <w:rFonts w:hint="eastAsia" w:ascii="仿宋" w:hAnsi="仿宋" w:eastAsia="仿宋"/>
          <w:sz w:val="28"/>
          <w:szCs w:val="28"/>
        </w:rPr>
        <w:t>份，每套投标文件须清楚地标明“正本”或“副本”。若正本和副本不符，以正本为准。详细分项报价做入标书商务卷，</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单独密封于档案袋</w:t>
      </w:r>
      <w:r>
        <w:rPr>
          <w:rFonts w:hint="eastAsia" w:ascii="仿宋" w:hAnsi="仿宋" w:eastAsia="仿宋"/>
          <w:sz w:val="28"/>
          <w:szCs w:val="28"/>
        </w:rPr>
        <w:t>，便于唱标。</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57995615">
      <w:pPr>
        <w:pStyle w:val="32"/>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Times New Roman"/>
          <w:sz w:val="28"/>
          <w:szCs w:val="28"/>
          <w:lang w:val="en-US" w:eastAsia="zh-CN"/>
        </w:rPr>
        <w:t>1）、</w:t>
      </w:r>
      <w:r>
        <w:rPr>
          <w:rFonts w:hint="eastAsia" w:ascii="仿宋" w:hAnsi="仿宋" w:eastAsia="仿宋" w:cs="仿宋"/>
          <w:kern w:val="2"/>
          <w:sz w:val="28"/>
          <w:szCs w:val="28"/>
          <w:lang w:val="en-US" w:eastAsia="zh-CN" w:bidi="ar-SA"/>
        </w:rPr>
        <w:t>投标单位为中华人民共和国境内合法注册的独立法人或其他组织，具有独立承担民事责任能力，具有独立订立合同的权利，</w:t>
      </w:r>
      <w:r>
        <w:rPr>
          <w:rFonts w:hint="eastAsia" w:ascii="宋体" w:hAnsi="宋体"/>
          <w:sz w:val="24"/>
        </w:rPr>
        <w:t>应</w:t>
      </w:r>
      <w:r>
        <w:rPr>
          <w:rFonts w:hint="eastAsia" w:ascii="仿宋" w:hAnsi="仿宋" w:eastAsia="仿宋" w:cs="仿宋"/>
          <w:kern w:val="2"/>
          <w:sz w:val="28"/>
          <w:szCs w:val="28"/>
          <w:lang w:val="en-US" w:eastAsia="zh-CN" w:bidi="ar-SA"/>
        </w:rPr>
        <w:t>具有设计和生产制造及调试能力，须提供有效的证明文件。需具备建筑机电安装工程专业承包或电力工程总承包二级及以上资质。具有有效的营业执照、安全生产许可证、质量管理体系认证、环境管理体系认证、职业健康安全管理体系认证。本项目不接受联合投标。</w:t>
      </w:r>
    </w:p>
    <w:p w14:paraId="1232402B">
      <w:pPr>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Times New Roman"/>
          <w:sz w:val="28"/>
          <w:szCs w:val="28"/>
          <w:lang w:val="en-US" w:eastAsia="zh-CN"/>
        </w:rPr>
        <w:t>2）、</w:t>
      </w:r>
      <w:r>
        <w:rPr>
          <w:rFonts w:hint="eastAsia" w:ascii="仿宋" w:hAnsi="仿宋" w:eastAsia="仿宋" w:cs="仿宋"/>
          <w:kern w:val="2"/>
          <w:sz w:val="28"/>
          <w:szCs w:val="28"/>
          <w:lang w:val="en-US" w:eastAsia="zh-CN" w:bidi="ar-SA"/>
        </w:rPr>
        <w:t>投标单位自2021年至今须至少具有600MW燃煤机组原煤仓改造或研究应用合同业绩2份，且单份合同总金额不少于200万元。投标人须提供能证明本次招标业绩要求的合同扫描件，合同扫描件须至少包含：合同买卖双方盖章页、合同签订时间和业绩要求中的关键信息页、用户证明、税票等。</w:t>
      </w:r>
    </w:p>
    <w:p w14:paraId="524FF7CE">
      <w:pPr>
        <w:pStyle w:val="32"/>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3）、投标单位不得被工商行政管理机关在全国企业信用信息公示系统中列入严重违法失信企业名单(在评标期间尚未解除的)。不得在“信用中国”网站 被列入“失信被执行人名单”(在评标期间尚未解除的)。</w:t>
      </w:r>
    </w:p>
    <w:p w14:paraId="01394198">
      <w:pPr>
        <w:widowControl/>
        <w:spacing w:line="460" w:lineRule="exact"/>
        <w:rPr>
          <w:rFonts w:hint="eastAsia" w:ascii="仿宋" w:hAnsi="仿宋" w:eastAsia="仿宋"/>
          <w:color w:val="000000"/>
          <w:sz w:val="28"/>
          <w:szCs w:val="28"/>
          <w:lang w:eastAsia="zh-CN"/>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r>
        <w:rPr>
          <w:rFonts w:hint="eastAsia" w:ascii="仿宋" w:hAnsi="仿宋" w:eastAsia="仿宋" w:cs="仿宋_GB2312"/>
          <w:sz w:val="28"/>
          <w:szCs w:val="28"/>
          <w:lang w:eastAsia="zh-CN"/>
        </w:rPr>
        <w:t>：</w:t>
      </w:r>
    </w:p>
    <w:p w14:paraId="0C961DD8">
      <w:pPr>
        <w:spacing w:line="4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资格预审：未在招标中心备案的投标人，需提供企业营业执照（年审过的有效件且必须有标的物经营范围）、相关资质许可、相关授权资料等、法人授权书、法人及投标人身份证、业绩合同等加盖公章复印件扫描件，打包发送至277838558@qq.com作资质预审；资质预审截止时间：4月26日下午5时前，逾期未审者不得参与本次招标。</w:t>
      </w:r>
    </w:p>
    <w:p w14:paraId="76038EBB">
      <w:pPr>
        <w:spacing w:line="4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2）、资格后审，即在评标过程中评标小组成员共同进行审查；</w:t>
      </w:r>
    </w:p>
    <w:p w14:paraId="0187882C">
      <w:pPr>
        <w:spacing w:before="48" w:beforeLines="20" w:after="48" w:afterLines="20" w:line="460" w:lineRule="exact"/>
        <w:ind w:firstLine="560" w:firstLineChars="200"/>
        <w:rPr>
          <w:rFonts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w:t>
      </w:r>
      <w:bookmarkStart w:id="148" w:name="_GoBack"/>
      <w:bookmarkEnd w:id="148"/>
      <w:r>
        <w:rPr>
          <w:rFonts w:hint="eastAsia" w:ascii="仿宋" w:hAnsi="仿宋" w:eastAsia="仿宋" w:cs="仿宋"/>
          <w:spacing w:val="-20"/>
          <w:sz w:val="28"/>
          <w:szCs w:val="28"/>
        </w:rPr>
        <w:t>保证金人民币</w:t>
      </w:r>
      <w:r>
        <w:rPr>
          <w:rFonts w:hint="eastAsia" w:ascii="仿宋" w:hAnsi="仿宋" w:eastAsia="仿宋" w:cs="仿宋"/>
          <w:spacing w:val="-20"/>
          <w:sz w:val="28"/>
          <w:szCs w:val="28"/>
          <w:lang w:val="en-US" w:eastAsia="zh-CN"/>
        </w:rPr>
        <w:t>贰万元整</w:t>
      </w:r>
      <w:r>
        <w:rPr>
          <w:rFonts w:hint="eastAsia" w:ascii="仿宋" w:hAnsi="仿宋" w:eastAsia="仿宋" w:cs="仿宋"/>
          <w:spacing w:val="-20"/>
          <w:sz w:val="28"/>
          <w:szCs w:val="28"/>
        </w:rPr>
        <w:t>（￥</w:t>
      </w:r>
      <w:r>
        <w:rPr>
          <w:rFonts w:hint="eastAsia" w:ascii="仿宋" w:hAnsi="仿宋" w:eastAsia="仿宋" w:cs="仿宋"/>
          <w:spacing w:val="-20"/>
          <w:sz w:val="28"/>
          <w:szCs w:val="28"/>
          <w:lang w:val="en-US" w:eastAsia="zh-CN"/>
        </w:rPr>
        <w:t>20000</w:t>
      </w:r>
      <w:r>
        <w:rPr>
          <w:rFonts w:hint="eastAsia" w:ascii="仿宋" w:hAnsi="仿宋" w:eastAsia="仿宋" w:cs="仿宋"/>
          <w:spacing w:val="-20"/>
          <w:sz w:val="28"/>
          <w:szCs w:val="28"/>
        </w:rPr>
        <w:t>元）整，（详细要求见招标文件第七部分）；逾期未缴纳者不得参与投标。</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、评标办法：各投标单位在都能满足招标文件及技术规范需求的情况下，综合评分高者列为中标候选单位（</w:t>
      </w:r>
      <w:r>
        <w:rPr>
          <w:rFonts w:hint="eastAsia" w:ascii="仿宋" w:hAnsi="仿宋" w:eastAsia="仿宋" w:cs="仿宋"/>
          <w:sz w:val="28"/>
          <w:szCs w:val="28"/>
        </w:rPr>
        <w:t>详见招标文件第三部分）</w:t>
      </w:r>
      <w:r>
        <w:rPr>
          <w:rFonts w:hint="eastAsia" w:ascii="仿宋" w:hAnsi="仿宋" w:eastAsia="仿宋"/>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、供货及工作范围：详见技术要求（附件7）；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663DF30A">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9、为保证项目的进度要求，招标人保留分段定标的权力。</w:t>
      </w:r>
    </w:p>
    <w:p w14:paraId="74ED1B2A">
      <w:pPr>
        <w:spacing w:line="460" w:lineRule="exact"/>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投标人廉政承诺书</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1</w:t>
      </w:r>
      <w:r>
        <w:rPr>
          <w:rFonts w:hint="eastAsia" w:ascii="仿宋" w:hAnsi="仿宋" w:eastAsia="仿宋"/>
          <w:sz w:val="28"/>
          <w:szCs w:val="28"/>
          <w:lang w:eastAsia="zh-CN"/>
        </w:rPr>
        <w:t>）</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投标人承诺函</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hint="eastAsia" w:ascii="仿宋" w:hAnsi="仿宋" w:eastAsia="仿宋"/>
          <w:spacing w:val="-20"/>
          <w:sz w:val="28"/>
          <w:szCs w:val="28"/>
          <w:lang w:eastAsia="zh-CN"/>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pacing w:val="-20"/>
          <w:sz w:val="28"/>
          <w:szCs w:val="28"/>
        </w:rPr>
        <w:t>投标人法定代表人授权书（法定代表人必须签字签章）</w:t>
      </w:r>
      <w:r>
        <w:rPr>
          <w:rFonts w:hint="eastAsia" w:ascii="仿宋" w:hAnsi="仿宋" w:eastAsia="仿宋"/>
          <w:spacing w:val="-20"/>
          <w:sz w:val="28"/>
          <w:szCs w:val="28"/>
          <w:lang w:eastAsia="zh-CN"/>
        </w:rPr>
        <w:t>。（</w:t>
      </w:r>
      <w:r>
        <w:rPr>
          <w:rFonts w:hint="eastAsia" w:ascii="仿宋" w:hAnsi="仿宋" w:eastAsia="仿宋"/>
          <w:spacing w:val="-20"/>
          <w:sz w:val="28"/>
          <w:szCs w:val="28"/>
        </w:rPr>
        <w:t>详见附件</w:t>
      </w:r>
      <w:r>
        <w:rPr>
          <w:rFonts w:ascii="仿宋" w:hAnsi="仿宋" w:eastAsia="仿宋"/>
          <w:spacing w:val="-20"/>
          <w:sz w:val="28"/>
          <w:szCs w:val="28"/>
        </w:rPr>
        <w:t>3</w:t>
      </w:r>
      <w:r>
        <w:rPr>
          <w:rFonts w:hint="eastAsia" w:ascii="仿宋" w:hAnsi="仿宋" w:eastAsia="仿宋"/>
          <w:spacing w:val="-20"/>
          <w:sz w:val="28"/>
          <w:szCs w:val="28"/>
          <w:lang w:eastAsia="zh-CN"/>
        </w:rPr>
        <w:t>）</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IV.质量、环保、健康等保证体系及其他质量认证证明；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ascii="仿宋" w:hAnsi="仿宋" w:eastAsia="仿宋"/>
          <w:sz w:val="28"/>
          <w:szCs w:val="28"/>
        </w:rPr>
      </w:pPr>
      <w:r>
        <w:rPr>
          <w:rFonts w:hint="eastAsia" w:ascii="仿宋" w:hAnsi="仿宋" w:eastAsia="仿宋"/>
          <w:sz w:val="28"/>
          <w:szCs w:val="28"/>
        </w:rPr>
        <w:t>VI. 其它文件和资料。</w:t>
      </w:r>
    </w:p>
    <w:p w14:paraId="6EBFBF42">
      <w:pPr>
        <w:spacing w:line="460" w:lineRule="exact"/>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企业、产品简介</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6）、分项详细报价等；</w:t>
      </w:r>
    </w:p>
    <w:p w14:paraId="65C3C8D8">
      <w:pPr>
        <w:spacing w:line="460" w:lineRule="exact"/>
        <w:ind w:firstLine="560" w:firstLineChars="200"/>
        <w:rPr>
          <w:rFonts w:ascii="仿宋" w:hAnsi="仿宋" w:eastAsia="仿宋"/>
          <w:sz w:val="28"/>
          <w:szCs w:val="28"/>
        </w:rPr>
      </w:pPr>
      <w:r>
        <w:rPr>
          <w:rFonts w:hint="eastAsia" w:ascii="仿宋" w:hAnsi="仿宋" w:eastAsia="仿宋"/>
          <w:sz w:val="28"/>
          <w:szCs w:val="28"/>
        </w:rPr>
        <w:t>7）商务、技术异议回复（详见附件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w:t>
      </w:r>
    </w:p>
    <w:p w14:paraId="5CAE776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投标文件从开标之日起，投标有效期为3个月。</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二</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w:t>
      </w:r>
      <w:r>
        <w:rPr>
          <w:rFonts w:hint="eastAsia" w:ascii="仿宋" w:hAnsi="仿宋" w:eastAsia="仿宋"/>
          <w:b/>
          <w:bCs/>
          <w:color w:val="FF0000"/>
          <w:sz w:val="28"/>
          <w:szCs w:val="28"/>
        </w:rPr>
        <w:t>按照招标方投标报价单格式</w:t>
      </w:r>
      <w:r>
        <w:rPr>
          <w:rFonts w:hint="eastAsia" w:ascii="仿宋" w:hAnsi="仿宋" w:eastAsia="仿宋"/>
          <w:sz w:val="28"/>
          <w:szCs w:val="28"/>
        </w:rPr>
        <w:t>认真填写投标报价（</w:t>
      </w:r>
      <w:r>
        <w:rPr>
          <w:rFonts w:hint="eastAsia" w:ascii="仿宋" w:hAnsi="仿宋" w:eastAsia="仿宋"/>
          <w:b/>
          <w:bCs/>
          <w:color w:val="FF0000"/>
          <w:sz w:val="28"/>
          <w:szCs w:val="28"/>
        </w:rPr>
        <w:t>密封于档案袋</w:t>
      </w:r>
      <w:r>
        <w:rPr>
          <w:rFonts w:hint="eastAsia" w:ascii="仿宋" w:hAnsi="仿宋" w:eastAsia="仿宋"/>
          <w:sz w:val="28"/>
          <w:szCs w:val="28"/>
        </w:rPr>
        <w:t>），对照技术规范列出各种分项价格表（</w:t>
      </w:r>
      <w:r>
        <w:rPr>
          <w:rFonts w:hint="eastAsia" w:ascii="仿宋" w:hAnsi="仿宋" w:eastAsia="仿宋"/>
          <w:b/>
          <w:bCs/>
          <w:color w:val="FF0000"/>
          <w:sz w:val="28"/>
          <w:szCs w:val="28"/>
        </w:rPr>
        <w:t>分项报价列入商务卷</w:t>
      </w:r>
      <w:r>
        <w:rPr>
          <w:rFonts w:hint="eastAsia" w:ascii="仿宋" w:hAnsi="仿宋" w:eastAsia="仿宋"/>
          <w:sz w:val="28"/>
          <w:szCs w:val="28"/>
        </w:rPr>
        <w:t>）。</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27</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27</w:t>
      </w:r>
      <w:r>
        <w:rPr>
          <w:rFonts w:hint="eastAsia" w:ascii="仿宋" w:hAnsi="仿宋" w:eastAsia="仿宋"/>
          <w:b/>
          <w:color w:val="FF0000"/>
          <w:sz w:val="28"/>
          <w:szCs w:val="28"/>
        </w:rPr>
        <w:t>日</w:t>
      </w:r>
      <w:r>
        <w:rPr>
          <w:rFonts w:hint="eastAsia" w:ascii="仿宋" w:hAnsi="仿宋" w:eastAsia="仿宋"/>
          <w:spacing w:val="-20"/>
          <w:sz w:val="28"/>
          <w:szCs w:val="28"/>
        </w:rPr>
        <w:t>（北京时间）之前不得启封”字样。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245B357A">
      <w:pPr>
        <w:spacing w:line="460" w:lineRule="exact"/>
        <w:ind w:firstLine="708" w:firstLineChars="253"/>
        <w:rPr>
          <w:rFonts w:ascii="仿宋" w:hAnsi="仿宋" w:eastAsia="仿宋"/>
          <w:sz w:val="28"/>
          <w:szCs w:val="28"/>
        </w:rPr>
      </w:pPr>
      <w:r>
        <w:rPr>
          <w:rFonts w:hint="eastAsia" w:ascii="仿宋" w:hAnsi="仿宋" w:eastAsia="仿宋"/>
          <w:sz w:val="28"/>
          <w:szCs w:val="28"/>
        </w:rPr>
        <w:t>5.2.4  投标文件的澄清</w:t>
      </w:r>
    </w:p>
    <w:p w14:paraId="10945A2D">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ascii="仿宋" w:hAnsi="仿宋" w:eastAsia="仿宋"/>
          <w:color w:val="FF0000"/>
          <w:sz w:val="28"/>
          <w:szCs w:val="28"/>
        </w:rPr>
        <w:t>6</w:t>
      </w:r>
      <w:r>
        <w:rPr>
          <w:rFonts w:hint="eastAsia" w:ascii="仿宋" w:hAnsi="仿宋" w:eastAsia="仿宋"/>
          <w:color w:val="FF0000"/>
          <w:sz w:val="28"/>
          <w:szCs w:val="28"/>
        </w:rPr>
        <w:t>0%，商务部分权重</w:t>
      </w:r>
      <w:r>
        <w:rPr>
          <w:rFonts w:ascii="仿宋" w:hAnsi="仿宋" w:eastAsia="仿宋"/>
          <w:color w:val="FF0000"/>
          <w:sz w:val="28"/>
          <w:szCs w:val="28"/>
        </w:rPr>
        <w:t>1</w:t>
      </w:r>
      <w:r>
        <w:rPr>
          <w:rFonts w:hint="eastAsia" w:ascii="仿宋" w:hAnsi="仿宋" w:eastAsia="仿宋"/>
          <w:color w:val="FF0000"/>
          <w:sz w:val="28"/>
          <w:szCs w:val="28"/>
        </w:rPr>
        <w:t>0%，技术部分权重</w:t>
      </w:r>
      <w:r>
        <w:rPr>
          <w:rFonts w:ascii="仿宋" w:hAnsi="仿宋" w:eastAsia="仿宋"/>
          <w:color w:val="FF0000"/>
          <w:sz w:val="28"/>
          <w:szCs w:val="28"/>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02E26D1E">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180" w:beforeLines="75" w:after="180" w:afterLines="75" w:line="460" w:lineRule="exact"/>
        <w:ind w:firstLine="840" w:firstLineChars="3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02EB4109">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162AB1C4">
      <w:pPr>
        <w:spacing w:line="160" w:lineRule="exact"/>
        <w:ind w:firstLine="560" w:firstLineChars="200"/>
        <w:rPr>
          <w:rFonts w:ascii="仿宋" w:hAnsi="仿宋" w:eastAsia="仿宋"/>
          <w:sz w:val="28"/>
          <w:szCs w:val="28"/>
        </w:rPr>
      </w:pPr>
    </w:p>
    <w:tbl>
      <w:tblPr>
        <w:tblStyle w:val="6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4BFE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7EF26838">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34953025">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5A64C266">
            <w:pPr>
              <w:jc w:val="center"/>
              <w:rPr>
                <w:rFonts w:ascii="仿宋" w:hAnsi="仿宋" w:eastAsia="仿宋" w:cs="仿宋"/>
                <w:sz w:val="22"/>
              </w:rPr>
            </w:pPr>
            <w:r>
              <w:rPr>
                <w:rFonts w:hint="eastAsia" w:ascii="仿宋" w:hAnsi="仿宋" w:eastAsia="仿宋" w:cs="仿宋"/>
                <w:sz w:val="22"/>
              </w:rPr>
              <w:t>考核内容</w:t>
            </w:r>
          </w:p>
        </w:tc>
        <w:tc>
          <w:tcPr>
            <w:tcW w:w="709" w:type="dxa"/>
            <w:vAlign w:val="center"/>
          </w:tcPr>
          <w:p w14:paraId="66829D6B">
            <w:pPr>
              <w:jc w:val="center"/>
              <w:rPr>
                <w:rFonts w:ascii="仿宋" w:hAnsi="仿宋" w:eastAsia="仿宋" w:cs="仿宋"/>
                <w:sz w:val="22"/>
              </w:rPr>
            </w:pPr>
            <w:r>
              <w:rPr>
                <w:rFonts w:hint="eastAsia" w:ascii="仿宋" w:hAnsi="仿宋" w:eastAsia="仿宋" w:cs="仿宋"/>
                <w:sz w:val="22"/>
              </w:rPr>
              <w:t>标准分</w:t>
            </w:r>
          </w:p>
        </w:tc>
        <w:tc>
          <w:tcPr>
            <w:tcW w:w="4961" w:type="dxa"/>
            <w:vAlign w:val="center"/>
          </w:tcPr>
          <w:p w14:paraId="3BDDEDF5">
            <w:pPr>
              <w:jc w:val="center"/>
              <w:rPr>
                <w:rFonts w:ascii="仿宋" w:hAnsi="仿宋" w:eastAsia="仿宋" w:cs="仿宋"/>
                <w:sz w:val="22"/>
              </w:rPr>
            </w:pPr>
            <w:r>
              <w:rPr>
                <w:rFonts w:hint="eastAsia" w:ascii="仿宋" w:hAnsi="仿宋" w:eastAsia="仿宋" w:cs="仿宋"/>
                <w:sz w:val="22"/>
              </w:rPr>
              <w:t>评分标准说明</w:t>
            </w:r>
          </w:p>
        </w:tc>
      </w:tr>
      <w:tr w14:paraId="0BB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0522657F">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39C6C3E">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2</w:t>
            </w:r>
            <w:r>
              <w:rPr>
                <w:rFonts w:hint="eastAsia" w:ascii="仿宋" w:hAnsi="仿宋" w:eastAsia="仿宋" w:cs="仿宋"/>
                <w:sz w:val="18"/>
                <w:szCs w:val="18"/>
              </w:rPr>
              <w:t>分）</w:t>
            </w:r>
          </w:p>
        </w:tc>
        <w:tc>
          <w:tcPr>
            <w:tcW w:w="1134" w:type="dxa"/>
            <w:vAlign w:val="center"/>
          </w:tcPr>
          <w:p w14:paraId="72F1355A">
            <w:pPr>
              <w:spacing w:line="240" w:lineRule="exact"/>
              <w:rPr>
                <w:rFonts w:ascii="仿宋" w:hAnsi="仿宋" w:eastAsia="仿宋" w:cs="仿宋"/>
                <w:sz w:val="18"/>
                <w:szCs w:val="18"/>
              </w:rPr>
            </w:pPr>
            <w:r>
              <w:rPr>
                <w:rFonts w:hint="eastAsia" w:ascii="仿宋" w:hAnsi="仿宋" w:eastAsia="仿宋" w:cs="仿宋"/>
                <w:sz w:val="18"/>
                <w:szCs w:val="18"/>
              </w:rPr>
              <w:t>完整性及响应性</w:t>
            </w:r>
          </w:p>
        </w:tc>
        <w:tc>
          <w:tcPr>
            <w:tcW w:w="709" w:type="dxa"/>
            <w:vAlign w:val="center"/>
          </w:tcPr>
          <w:p w14:paraId="2A98ABB1">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3DFF71A7">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对投标文件的完整性和响应性进行评价，最优得满分，最低得1分。</w:t>
            </w:r>
          </w:p>
        </w:tc>
      </w:tr>
      <w:tr w14:paraId="465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2AA67FD2">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508272CE">
            <w:pPr>
              <w:spacing w:line="240" w:lineRule="exact"/>
              <w:jc w:val="center"/>
              <w:rPr>
                <w:rFonts w:ascii="仿宋" w:hAnsi="仿宋" w:eastAsia="仿宋" w:cs="仿宋"/>
                <w:sz w:val="18"/>
                <w:szCs w:val="18"/>
              </w:rPr>
            </w:pPr>
            <w:r>
              <w:rPr>
                <w:rFonts w:hint="eastAsia" w:ascii="仿宋" w:hAnsi="仿宋" w:eastAsia="仿宋" w:cs="仿宋"/>
                <w:sz w:val="18"/>
                <w:szCs w:val="18"/>
              </w:rPr>
              <w:t>企业财务状况</w:t>
            </w:r>
          </w:p>
          <w:p w14:paraId="377B28A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0AD40E2D">
            <w:pPr>
              <w:spacing w:line="240" w:lineRule="exact"/>
              <w:rPr>
                <w:rFonts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043096F6">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571C2133">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hint="eastAsia" w:ascii="仿宋" w:hAnsi="仿宋" w:eastAsia="仿宋"/>
                <w:sz w:val="18"/>
                <w:szCs w:val="18"/>
                <w:lang w:val="en-US" w:eastAsia="zh-CN"/>
              </w:rPr>
              <w:t>3</w:t>
            </w:r>
            <w:r>
              <w:rPr>
                <w:rFonts w:hint="eastAsia" w:ascii="仿宋" w:hAnsi="仿宋" w:eastAsia="仿宋"/>
                <w:sz w:val="18"/>
                <w:szCs w:val="18"/>
              </w:rPr>
              <w:t>年度、202</w:t>
            </w:r>
            <w:r>
              <w:rPr>
                <w:rFonts w:hint="eastAsia" w:ascii="仿宋" w:hAnsi="仿宋" w:eastAsia="仿宋"/>
                <w:sz w:val="18"/>
                <w:szCs w:val="18"/>
                <w:lang w:val="en-US" w:eastAsia="zh-CN"/>
              </w:rPr>
              <w:t>4</w:t>
            </w:r>
            <w:r>
              <w:rPr>
                <w:rFonts w:hint="eastAsia" w:ascii="仿宋" w:hAnsi="仿宋" w:eastAsia="仿宋"/>
                <w:sz w:val="18"/>
                <w:szCs w:val="18"/>
              </w:rPr>
              <w:t>年度、202</w:t>
            </w:r>
            <w:r>
              <w:rPr>
                <w:rFonts w:hint="eastAsia" w:ascii="仿宋" w:hAnsi="仿宋" w:eastAsia="仿宋"/>
                <w:sz w:val="18"/>
                <w:szCs w:val="18"/>
                <w:lang w:val="en-US" w:eastAsia="zh-CN"/>
              </w:rPr>
              <w:t>5</w:t>
            </w:r>
            <w:r>
              <w:rPr>
                <w:rFonts w:hint="eastAsia" w:ascii="仿宋" w:hAnsi="仿宋" w:eastAsia="仿宋"/>
                <w:sz w:val="18"/>
                <w:szCs w:val="18"/>
              </w:rPr>
              <w:t>年度）完整审计报告，企业连续三年均盈利得</w:t>
            </w:r>
            <w:r>
              <w:rPr>
                <w:rFonts w:ascii="仿宋" w:hAnsi="仿宋" w:eastAsia="仿宋"/>
                <w:sz w:val="18"/>
                <w:szCs w:val="18"/>
              </w:rPr>
              <w:t>1.5</w:t>
            </w:r>
            <w:r>
              <w:rPr>
                <w:rFonts w:hint="eastAsia" w:ascii="仿宋" w:hAnsi="仿宋" w:eastAsia="仿宋"/>
                <w:sz w:val="18"/>
                <w:szCs w:val="18"/>
              </w:rPr>
              <w:t>分，两年（含两年）显示盈利得</w:t>
            </w:r>
            <w:r>
              <w:rPr>
                <w:rFonts w:ascii="仿宋" w:hAnsi="仿宋" w:eastAsia="仿宋"/>
                <w:sz w:val="18"/>
                <w:szCs w:val="18"/>
              </w:rPr>
              <w:t>1</w:t>
            </w:r>
            <w:r>
              <w:rPr>
                <w:rFonts w:hint="eastAsia" w:ascii="仿宋" w:hAnsi="仿宋" w:eastAsia="仿宋"/>
                <w:sz w:val="18"/>
                <w:szCs w:val="18"/>
              </w:rPr>
              <w:t>分，两年以下显示盈利得0分。</w:t>
            </w:r>
          </w:p>
          <w:p w14:paraId="6D328674">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11A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714" w:type="dxa"/>
            <w:vMerge w:val="restart"/>
            <w:vAlign w:val="center"/>
          </w:tcPr>
          <w:p w14:paraId="796307A5">
            <w:pPr>
              <w:spacing w:line="240" w:lineRule="exact"/>
              <w:jc w:val="center"/>
              <w:rPr>
                <w:rFonts w:ascii="仿宋" w:hAnsi="仿宋" w:eastAsia="仿宋" w:cs="仿宋"/>
                <w:sz w:val="18"/>
                <w:szCs w:val="18"/>
              </w:rPr>
            </w:pPr>
            <w:r>
              <w:rPr>
                <w:rFonts w:hint="eastAsia" w:ascii="仿宋" w:hAnsi="仿宋" w:eastAsia="仿宋" w:cs="仿宋"/>
                <w:sz w:val="18"/>
                <w:szCs w:val="18"/>
              </w:rPr>
              <w:t>3</w:t>
            </w:r>
          </w:p>
        </w:tc>
        <w:tc>
          <w:tcPr>
            <w:tcW w:w="1691" w:type="dxa"/>
            <w:vMerge w:val="restart"/>
            <w:vAlign w:val="center"/>
          </w:tcPr>
          <w:p w14:paraId="6729322F">
            <w:pPr>
              <w:spacing w:line="240" w:lineRule="exact"/>
              <w:jc w:val="center"/>
              <w:rPr>
                <w:rFonts w:ascii="仿宋" w:hAnsi="仿宋" w:eastAsia="仿宋" w:cs="仿宋"/>
                <w:sz w:val="18"/>
                <w:szCs w:val="18"/>
              </w:rPr>
            </w:pPr>
            <w:r>
              <w:rPr>
                <w:rFonts w:hint="eastAsia" w:ascii="仿宋" w:hAnsi="仿宋" w:eastAsia="仿宋" w:cs="仿宋"/>
                <w:sz w:val="18"/>
                <w:szCs w:val="18"/>
              </w:rPr>
              <w:t>进度保证</w:t>
            </w:r>
          </w:p>
          <w:p w14:paraId="32772EF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21524155">
            <w:pPr>
              <w:spacing w:line="240" w:lineRule="exact"/>
              <w:rPr>
                <w:rFonts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6BA10DCD">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1C9B6CF5">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3D6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jc w:val="center"/>
        </w:trPr>
        <w:tc>
          <w:tcPr>
            <w:tcW w:w="714" w:type="dxa"/>
            <w:vMerge w:val="continue"/>
            <w:vAlign w:val="center"/>
          </w:tcPr>
          <w:p w14:paraId="1C8C7799">
            <w:pPr>
              <w:spacing w:line="240" w:lineRule="exact"/>
              <w:jc w:val="center"/>
              <w:rPr>
                <w:rFonts w:ascii="仿宋" w:hAnsi="仿宋" w:eastAsia="仿宋" w:cs="仿宋"/>
                <w:sz w:val="18"/>
                <w:szCs w:val="18"/>
              </w:rPr>
            </w:pPr>
          </w:p>
        </w:tc>
        <w:tc>
          <w:tcPr>
            <w:tcW w:w="1691" w:type="dxa"/>
            <w:vMerge w:val="continue"/>
            <w:vAlign w:val="center"/>
          </w:tcPr>
          <w:p w14:paraId="53D4DF34">
            <w:pPr>
              <w:spacing w:line="240" w:lineRule="exact"/>
              <w:rPr>
                <w:rFonts w:ascii="仿宋" w:hAnsi="仿宋" w:eastAsia="仿宋" w:cs="仿宋"/>
                <w:sz w:val="18"/>
                <w:szCs w:val="18"/>
              </w:rPr>
            </w:pPr>
          </w:p>
        </w:tc>
        <w:tc>
          <w:tcPr>
            <w:tcW w:w="1134" w:type="dxa"/>
            <w:vAlign w:val="center"/>
          </w:tcPr>
          <w:p w14:paraId="2883B7B1">
            <w:pPr>
              <w:spacing w:line="240" w:lineRule="exact"/>
              <w:rPr>
                <w:rFonts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602AC70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6423686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1C2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14" w:type="dxa"/>
            <w:vMerge w:val="continue"/>
            <w:vAlign w:val="center"/>
          </w:tcPr>
          <w:p w14:paraId="0CFFACF7">
            <w:pPr>
              <w:spacing w:line="240" w:lineRule="exact"/>
              <w:jc w:val="center"/>
              <w:rPr>
                <w:rFonts w:ascii="仿宋" w:hAnsi="仿宋" w:eastAsia="仿宋" w:cs="仿宋"/>
                <w:sz w:val="18"/>
                <w:szCs w:val="18"/>
              </w:rPr>
            </w:pPr>
          </w:p>
        </w:tc>
        <w:tc>
          <w:tcPr>
            <w:tcW w:w="1691" w:type="dxa"/>
            <w:vMerge w:val="continue"/>
            <w:vAlign w:val="center"/>
          </w:tcPr>
          <w:p w14:paraId="479B3C33">
            <w:pPr>
              <w:spacing w:line="240" w:lineRule="exact"/>
              <w:rPr>
                <w:rFonts w:ascii="仿宋" w:hAnsi="仿宋" w:eastAsia="仿宋" w:cs="仿宋"/>
                <w:sz w:val="18"/>
                <w:szCs w:val="18"/>
              </w:rPr>
            </w:pPr>
          </w:p>
        </w:tc>
        <w:tc>
          <w:tcPr>
            <w:tcW w:w="1134" w:type="dxa"/>
            <w:vAlign w:val="center"/>
          </w:tcPr>
          <w:p w14:paraId="29613A69">
            <w:pPr>
              <w:spacing w:line="240" w:lineRule="exact"/>
              <w:rPr>
                <w:rFonts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120A855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38AB3BF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6B3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549AA5D8">
            <w:pPr>
              <w:spacing w:line="240" w:lineRule="exact"/>
              <w:jc w:val="center"/>
              <w:rPr>
                <w:rFonts w:ascii="仿宋" w:hAnsi="仿宋" w:eastAsia="仿宋" w:cs="仿宋"/>
                <w:sz w:val="18"/>
                <w:szCs w:val="18"/>
              </w:rPr>
            </w:pPr>
            <w:r>
              <w:rPr>
                <w:rFonts w:hint="eastAsia" w:ascii="仿宋" w:hAnsi="仿宋" w:eastAsia="仿宋" w:cs="仿宋"/>
                <w:sz w:val="18"/>
                <w:szCs w:val="18"/>
              </w:rPr>
              <w:t>4</w:t>
            </w:r>
          </w:p>
        </w:tc>
        <w:tc>
          <w:tcPr>
            <w:tcW w:w="1691" w:type="dxa"/>
            <w:vAlign w:val="center"/>
          </w:tcPr>
          <w:p w14:paraId="4BD92AF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（1.5分）</w:t>
            </w:r>
          </w:p>
        </w:tc>
        <w:tc>
          <w:tcPr>
            <w:tcW w:w="1134" w:type="dxa"/>
            <w:vAlign w:val="center"/>
          </w:tcPr>
          <w:p w14:paraId="6551CA86">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0DD36880">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25CA69C">
            <w:pPr>
              <w:snapToGrid w:val="0"/>
              <w:spacing w:line="240" w:lineRule="exact"/>
              <w:jc w:val="left"/>
              <w:rPr>
                <w:rFonts w:ascii="仿宋" w:hAnsi="仿宋" w:eastAsia="仿宋" w:cs="仿宋"/>
                <w:sz w:val="18"/>
                <w:szCs w:val="18"/>
              </w:rPr>
            </w:pPr>
            <w:r>
              <w:rPr>
                <w:rFonts w:ascii="仿宋" w:hAnsi="仿宋" w:eastAsia="仿宋" w:cs="仿宋"/>
                <w:sz w:val="18"/>
                <w:szCs w:val="18"/>
              </w:rPr>
              <w:t>投标人具有质量管理体系认证证书、环境管理体系认证证书、职业健康安全管理体系认证证书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。以上证书齐全的得1.5分</w:t>
            </w:r>
            <w:r>
              <w:rPr>
                <w:rFonts w:hint="eastAsia" w:ascii="仿宋" w:hAnsi="仿宋" w:eastAsia="仿宋" w:cs="仿宋"/>
                <w:sz w:val="18"/>
                <w:szCs w:val="18"/>
              </w:rPr>
              <w:t>，否则不得分。</w:t>
            </w:r>
          </w:p>
          <w:p w14:paraId="37705350">
            <w:pPr>
              <w:spacing w:line="240" w:lineRule="exact"/>
              <w:rPr>
                <w:rFonts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2A9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36BDB5E">
            <w:pPr>
              <w:spacing w:line="240" w:lineRule="exact"/>
              <w:jc w:val="center"/>
              <w:rPr>
                <w:rFonts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5BCB46A4">
            <w:pPr>
              <w:snapToGrid w:val="0"/>
              <w:spacing w:line="240" w:lineRule="exact"/>
              <w:jc w:val="center"/>
              <w:rPr>
                <w:rFonts w:ascii="仿宋" w:hAnsi="仿宋" w:eastAsia="仿宋"/>
                <w:sz w:val="18"/>
                <w:szCs w:val="18"/>
              </w:rPr>
            </w:pPr>
            <w:r>
              <w:rPr>
                <w:rFonts w:ascii="仿宋" w:hAnsi="仿宋" w:eastAsia="仿宋"/>
                <w:sz w:val="18"/>
                <w:szCs w:val="18"/>
              </w:rPr>
              <w:t>信用评价</w:t>
            </w:r>
          </w:p>
          <w:p w14:paraId="2061E2D6">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6647FCBD">
            <w:pPr>
              <w:spacing w:line="240" w:lineRule="exact"/>
              <w:jc w:val="center"/>
              <w:rPr>
                <w:rFonts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72B7C60F">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F3620C4">
            <w:pPr>
              <w:snapToGrid w:val="0"/>
              <w:spacing w:line="240" w:lineRule="exact"/>
              <w:rPr>
                <w:rFonts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w:t>
            </w:r>
            <w:r>
              <w:rPr>
                <w:rFonts w:hint="eastAsia" w:ascii="仿宋" w:hAnsi="仿宋" w:eastAsia="仿宋" w:cs="仿宋"/>
                <w:sz w:val="18"/>
                <w:szCs w:val="18"/>
                <w:lang w:val="en-US" w:eastAsia="zh-CN"/>
              </w:rPr>
              <w:t>2</w:t>
            </w:r>
            <w:r>
              <w:rPr>
                <w:rFonts w:ascii="仿宋" w:hAnsi="仿宋" w:eastAsia="仿宋" w:cs="仿宋"/>
                <w:sz w:val="18"/>
                <w:szCs w:val="18"/>
              </w:rPr>
              <w:t>年以来连续三年被评为AAA级的企业得1.5分；连续两年被评为AAA级的企业得1分；一年内被评为AAA级的企业得0.5分。（须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1CAC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25F6AAD">
            <w:pPr>
              <w:spacing w:line="240" w:lineRule="exact"/>
              <w:jc w:val="center"/>
              <w:rPr>
                <w:rFonts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218C1EE1">
            <w:pPr>
              <w:snapToGrid w:val="0"/>
              <w:spacing w:line="240" w:lineRule="exact"/>
              <w:jc w:val="center"/>
              <w:rPr>
                <w:rFonts w:ascii="仿宋" w:hAnsi="仿宋" w:eastAsia="仿宋"/>
                <w:sz w:val="18"/>
                <w:szCs w:val="18"/>
              </w:rPr>
            </w:pPr>
            <w:r>
              <w:rPr>
                <w:rFonts w:hint="eastAsia" w:ascii="仿宋" w:hAnsi="仿宋" w:eastAsia="仿宋"/>
                <w:sz w:val="18"/>
                <w:szCs w:val="18"/>
              </w:rPr>
              <w:t>质保承诺</w:t>
            </w:r>
          </w:p>
          <w:p w14:paraId="178961C7">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2</w:t>
            </w:r>
            <w:r>
              <w:rPr>
                <w:rFonts w:hint="eastAsia" w:ascii="仿宋" w:hAnsi="仿宋" w:eastAsia="仿宋"/>
                <w:sz w:val="18"/>
                <w:szCs w:val="18"/>
              </w:rPr>
              <w:t>分）</w:t>
            </w:r>
          </w:p>
        </w:tc>
        <w:tc>
          <w:tcPr>
            <w:tcW w:w="1134" w:type="dxa"/>
            <w:vAlign w:val="center"/>
          </w:tcPr>
          <w:p w14:paraId="0C78D714">
            <w:pPr>
              <w:spacing w:line="240" w:lineRule="exact"/>
              <w:jc w:val="center"/>
              <w:rPr>
                <w:rFonts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12DFCE32">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2EF602EC">
            <w:pPr>
              <w:pStyle w:val="26"/>
              <w:snapToGrid w:val="0"/>
              <w:spacing w:line="240" w:lineRule="exact"/>
              <w:rPr>
                <w:rFonts w:ascii="仿宋" w:hAnsi="仿宋" w:eastAsia="仿宋" w:cs="仿宋"/>
                <w:color w:val="auto"/>
                <w:sz w:val="18"/>
                <w:szCs w:val="18"/>
              </w:rPr>
            </w:pPr>
            <w:r>
              <w:rPr>
                <w:rFonts w:ascii="仿宋" w:hAnsi="仿宋" w:eastAsia="仿宋" w:cs="仿宋"/>
                <w:color w:val="auto"/>
                <w:sz w:val="18"/>
                <w:szCs w:val="18"/>
              </w:rPr>
              <w:t>质保期</w:t>
            </w:r>
            <w:r>
              <w:rPr>
                <w:rFonts w:hint="eastAsia" w:ascii="仿宋" w:hAnsi="仿宋" w:eastAsia="仿宋" w:cs="仿宋"/>
                <w:color w:val="auto"/>
                <w:sz w:val="18"/>
                <w:szCs w:val="18"/>
                <w:lang w:val="en-US" w:eastAsia="zh-CN"/>
              </w:rPr>
              <w:t>12个月</w:t>
            </w:r>
            <w:r>
              <w:rPr>
                <w:rFonts w:ascii="仿宋" w:hAnsi="仿宋" w:eastAsia="仿宋" w:cs="仿宋"/>
                <w:color w:val="auto"/>
                <w:sz w:val="18"/>
                <w:szCs w:val="18"/>
              </w:rPr>
              <w:t>：在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得1分，最高得2分，不足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2EDAD866">
            <w:pPr>
              <w:spacing w:line="240" w:lineRule="exact"/>
              <w:rPr>
                <w:rFonts w:ascii="仿宋" w:hAnsi="仿宋" w:eastAsia="仿宋" w:cs="仿宋"/>
                <w:sz w:val="18"/>
                <w:szCs w:val="18"/>
              </w:rPr>
            </w:pPr>
            <w:r>
              <w:rPr>
                <w:rFonts w:hint="eastAsia" w:ascii="仿宋" w:hAnsi="仿宋" w:eastAsia="仿宋"/>
                <w:b/>
                <w:bCs/>
                <w:sz w:val="18"/>
                <w:szCs w:val="18"/>
              </w:rPr>
              <w:t>（须在投标文件中附承诺并加盖公章，否则不得分。）</w:t>
            </w:r>
          </w:p>
        </w:tc>
      </w:tr>
    </w:tbl>
    <w:p w14:paraId="740A6E01">
      <w:pPr>
        <w:spacing w:line="240" w:lineRule="exact"/>
        <w:ind w:firstLine="560" w:firstLineChars="200"/>
        <w:rPr>
          <w:rFonts w:ascii="仿宋" w:hAnsi="仿宋" w:eastAsia="仿宋"/>
          <w:sz w:val="28"/>
          <w:szCs w:val="28"/>
        </w:rPr>
      </w:pPr>
    </w:p>
    <w:p w14:paraId="4F2B0916">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41086596">
      <w:pPr>
        <w:spacing w:line="460" w:lineRule="exact"/>
        <w:ind w:firstLine="2741"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7A2E081A">
      <w:pPr>
        <w:spacing w:line="160" w:lineRule="exact"/>
        <w:ind w:firstLine="2741" w:firstLineChars="1300"/>
        <w:rPr>
          <w:rFonts w:ascii="宋体" w:hAnsi="宋体"/>
          <w:b/>
          <w:szCs w:val="21"/>
        </w:rPr>
      </w:pPr>
    </w:p>
    <w:tbl>
      <w:tblPr>
        <w:tblStyle w:val="60"/>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311"/>
      </w:tblGrid>
      <w:tr w14:paraId="14B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52F9BAC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517ECBA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311" w:type="dxa"/>
            <w:vAlign w:val="center"/>
          </w:tcPr>
          <w:p w14:paraId="085735A3">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394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BB4C6F">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50703AA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基本功能</w:t>
            </w:r>
          </w:p>
        </w:tc>
        <w:tc>
          <w:tcPr>
            <w:tcW w:w="709" w:type="dxa"/>
            <w:vAlign w:val="center"/>
          </w:tcPr>
          <w:p w14:paraId="7C86198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F8DAD6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完全满足：</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分；基本满足：1-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分；不满足：废标</w:t>
            </w:r>
          </w:p>
        </w:tc>
      </w:tr>
      <w:tr w14:paraId="385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25FCAB">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vAlign w:val="center"/>
          </w:tcPr>
          <w:p w14:paraId="385B100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设计制作</w:t>
            </w:r>
          </w:p>
        </w:tc>
        <w:tc>
          <w:tcPr>
            <w:tcW w:w="709" w:type="dxa"/>
            <w:vAlign w:val="center"/>
          </w:tcPr>
          <w:p w14:paraId="1881AEB6">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218465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根据设备设计、设备参数及技术力量：1-3分</w:t>
            </w:r>
          </w:p>
        </w:tc>
      </w:tr>
      <w:tr w14:paraId="4977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FAE1FC">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vAlign w:val="center"/>
          </w:tcPr>
          <w:p w14:paraId="4ABC273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产品适用性</w:t>
            </w:r>
          </w:p>
        </w:tc>
        <w:tc>
          <w:tcPr>
            <w:tcW w:w="709" w:type="dxa"/>
            <w:vAlign w:val="center"/>
          </w:tcPr>
          <w:p w14:paraId="2F3911F8">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B731848">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操作简便、直观：1-</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w:t>
            </w:r>
          </w:p>
        </w:tc>
      </w:tr>
      <w:tr w14:paraId="47C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395581">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vAlign w:val="center"/>
          </w:tcPr>
          <w:p w14:paraId="4991D58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综合技术水平及性能</w:t>
            </w:r>
          </w:p>
        </w:tc>
        <w:tc>
          <w:tcPr>
            <w:tcW w:w="709" w:type="dxa"/>
            <w:vAlign w:val="center"/>
          </w:tcPr>
          <w:p w14:paraId="7ABAA26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64F5E10C">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对工艺、技术、配置、性能等的可行性、先进性、专利等综合评价：1-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D0A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4C48B2B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1BFE0D8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z w:val="18"/>
                <w:szCs w:val="18"/>
              </w:rPr>
              <w:t>生产能力和业绩</w:t>
            </w:r>
          </w:p>
        </w:tc>
        <w:tc>
          <w:tcPr>
            <w:tcW w:w="709" w:type="dxa"/>
            <w:vAlign w:val="center"/>
          </w:tcPr>
          <w:p w14:paraId="7C589F3E">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z w:val="18"/>
                <w:szCs w:val="18"/>
                <w:lang w:val="en-US" w:eastAsia="zh-CN"/>
              </w:rPr>
              <w:t>5</w:t>
            </w:r>
          </w:p>
        </w:tc>
        <w:tc>
          <w:tcPr>
            <w:tcW w:w="6311" w:type="dxa"/>
            <w:vAlign w:val="center"/>
          </w:tcPr>
          <w:p w14:paraId="49722D37">
            <w:pPr>
              <w:rPr>
                <w:rFonts w:ascii="仿宋" w:hAnsi="仿宋" w:eastAsia="仿宋" w:cs="仿宋"/>
                <w:snapToGrid w:val="0"/>
                <w:kern w:val="0"/>
                <w:sz w:val="18"/>
                <w:szCs w:val="18"/>
              </w:rPr>
            </w:pPr>
            <w:r>
              <w:rPr>
                <w:rFonts w:hint="eastAsia" w:ascii="仿宋" w:hAnsi="仿宋" w:eastAsia="仿宋" w:cs="Times New Roman"/>
                <w:sz w:val="18"/>
                <w:szCs w:val="18"/>
              </w:rPr>
              <w:t>近</w:t>
            </w:r>
            <w:r>
              <w:rPr>
                <w:rFonts w:hint="eastAsia" w:ascii="仿宋" w:hAnsi="仿宋" w:eastAsia="仿宋" w:cs="Times New Roman"/>
                <w:sz w:val="18"/>
                <w:szCs w:val="18"/>
                <w:lang w:val="en-US" w:eastAsia="zh-CN"/>
              </w:rPr>
              <w:t>五</w:t>
            </w:r>
            <w:r>
              <w:rPr>
                <w:rFonts w:hint="eastAsia" w:ascii="仿宋" w:hAnsi="仿宋" w:eastAsia="仿宋" w:cs="Times New Roman"/>
                <w:sz w:val="18"/>
                <w:szCs w:val="18"/>
              </w:rPr>
              <w:t>年</w:t>
            </w:r>
            <w:r>
              <w:rPr>
                <w:rFonts w:hint="eastAsia" w:ascii="仿宋" w:hAnsi="仿宋" w:eastAsia="仿宋" w:cs="Times New Roman"/>
                <w:sz w:val="18"/>
                <w:szCs w:val="18"/>
                <w:lang w:val="en-US" w:eastAsia="zh-CN"/>
              </w:rPr>
              <w:t>600MW</w:t>
            </w:r>
            <w:r>
              <w:rPr>
                <w:rFonts w:hint="eastAsia" w:ascii="仿宋" w:hAnsi="仿宋" w:eastAsia="仿宋" w:cs="Times New Roman"/>
                <w:sz w:val="18"/>
                <w:szCs w:val="18"/>
              </w:rPr>
              <w:t>燃煤机组原煤仓改造或研究应用合同业绩2份</w:t>
            </w:r>
            <w:r>
              <w:rPr>
                <w:rFonts w:hint="eastAsia" w:ascii="仿宋" w:hAnsi="仿宋" w:eastAsia="仿宋" w:cs="Times New Roman"/>
                <w:sz w:val="18"/>
                <w:szCs w:val="18"/>
                <w:lang w:eastAsia="zh-CN"/>
              </w:rPr>
              <w:t>，</w:t>
            </w:r>
            <w:r>
              <w:rPr>
                <w:rFonts w:hint="eastAsia" w:ascii="仿宋" w:hAnsi="仿宋" w:eastAsia="仿宋" w:cs="Times New Roman"/>
                <w:sz w:val="18"/>
                <w:szCs w:val="18"/>
                <w:lang w:val="en-US" w:eastAsia="zh-CN"/>
              </w:rPr>
              <w:t>2</w:t>
            </w:r>
            <w:r>
              <w:rPr>
                <w:rFonts w:hint="eastAsia" w:ascii="仿宋" w:hAnsi="仿宋" w:eastAsia="仿宋" w:cs="Times New Roman"/>
                <w:sz w:val="18"/>
                <w:szCs w:val="18"/>
                <w:lang w:val="en-US" w:eastAsia="zh-CN"/>
              </w:rPr>
              <w:t>个</w:t>
            </w:r>
            <w:r>
              <w:rPr>
                <w:rFonts w:hint="eastAsia" w:ascii="仿宋" w:hAnsi="仿宋" w:eastAsia="仿宋"/>
                <w:sz w:val="18"/>
                <w:szCs w:val="18"/>
              </w:rPr>
              <w:t>得0分，每增加1个得1分，最高得</w:t>
            </w:r>
            <w:r>
              <w:rPr>
                <w:rFonts w:hint="eastAsia" w:ascii="仿宋" w:hAnsi="仿宋" w:eastAsia="仿宋"/>
                <w:sz w:val="18"/>
                <w:szCs w:val="18"/>
                <w:lang w:val="en-US" w:eastAsia="zh-CN"/>
              </w:rPr>
              <w:t>5</w:t>
            </w:r>
            <w:r>
              <w:rPr>
                <w:rFonts w:hint="eastAsia" w:ascii="仿宋" w:hAnsi="仿宋" w:eastAsia="仿宋"/>
                <w:sz w:val="18"/>
                <w:szCs w:val="18"/>
              </w:rPr>
              <w:t>分。</w:t>
            </w:r>
          </w:p>
        </w:tc>
      </w:tr>
      <w:tr w14:paraId="1EC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1" w:hRule="atLeast"/>
          <w:jc w:val="center"/>
        </w:trPr>
        <w:tc>
          <w:tcPr>
            <w:tcW w:w="421" w:type="dxa"/>
            <w:vAlign w:val="center"/>
          </w:tcPr>
          <w:p w14:paraId="7F5EA8AA">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D798614">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6A19A51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311" w:type="dxa"/>
            <w:vAlign w:val="center"/>
          </w:tcPr>
          <w:p w14:paraId="74DEB4D2">
            <w:pPr>
              <w:pStyle w:val="26"/>
              <w:snapToGrid w:val="0"/>
              <w:spacing w:line="240" w:lineRule="exact"/>
              <w:rPr>
                <w:rFonts w:hint="eastAsia" w:ascii="仿宋" w:hAnsi="仿宋" w:eastAsia="仿宋"/>
                <w:color w:val="auto"/>
                <w:sz w:val="18"/>
                <w:szCs w:val="18"/>
                <w:lang w:eastAsia="zh-CN"/>
              </w:rPr>
            </w:pPr>
            <w:r>
              <w:rPr>
                <w:rFonts w:hint="eastAsia" w:ascii="仿宋" w:hAnsi="仿宋" w:eastAsia="仿宋"/>
                <w:color w:val="auto"/>
                <w:sz w:val="18"/>
                <w:szCs w:val="18"/>
              </w:rPr>
              <w:t>完善2分；基本完善1分；不完善0分</w:t>
            </w:r>
            <w:r>
              <w:rPr>
                <w:rFonts w:hint="eastAsia" w:ascii="仿宋" w:hAnsi="仿宋" w:eastAsia="仿宋"/>
                <w:color w:val="auto"/>
                <w:sz w:val="18"/>
                <w:szCs w:val="18"/>
                <w:lang w:eastAsia="zh-CN"/>
              </w:rPr>
              <w:t>。</w:t>
            </w:r>
          </w:p>
        </w:tc>
      </w:tr>
      <w:tr w14:paraId="20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jc w:val="center"/>
        </w:trPr>
        <w:tc>
          <w:tcPr>
            <w:tcW w:w="421" w:type="dxa"/>
            <w:vAlign w:val="center"/>
          </w:tcPr>
          <w:p w14:paraId="0EFEB247">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7</w:t>
            </w:r>
          </w:p>
        </w:tc>
        <w:tc>
          <w:tcPr>
            <w:tcW w:w="1275" w:type="dxa"/>
            <w:vAlign w:val="center"/>
          </w:tcPr>
          <w:p w14:paraId="5C0A0C48">
            <w:pPr>
              <w:snapToGrid w:val="0"/>
              <w:spacing w:line="240" w:lineRule="exact"/>
              <w:jc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tc>
        <w:tc>
          <w:tcPr>
            <w:tcW w:w="709" w:type="dxa"/>
            <w:vAlign w:val="center"/>
          </w:tcPr>
          <w:p w14:paraId="088612BB">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1A894AF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0AB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421" w:type="dxa"/>
            <w:vAlign w:val="center"/>
          </w:tcPr>
          <w:p w14:paraId="5C7DC645">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8</w:t>
            </w:r>
          </w:p>
        </w:tc>
        <w:tc>
          <w:tcPr>
            <w:tcW w:w="1275" w:type="dxa"/>
            <w:vAlign w:val="center"/>
          </w:tcPr>
          <w:p w14:paraId="602C392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vAlign w:val="center"/>
          </w:tcPr>
          <w:p w14:paraId="1B988EB1">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46A6DEC3">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根据投标人提供的备品备件清单及优惠折扣价格，进行横向比较后打1-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6D8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5AF55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9</w:t>
            </w:r>
          </w:p>
        </w:tc>
        <w:tc>
          <w:tcPr>
            <w:tcW w:w="1275" w:type="dxa"/>
            <w:vAlign w:val="center"/>
          </w:tcPr>
          <w:p w14:paraId="32666B0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E2542F7">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1686B987">
            <w:pPr>
              <w:snapToGrid w:val="0"/>
              <w:spacing w:line="240" w:lineRule="exact"/>
              <w:jc w:val="left"/>
              <w:rPr>
                <w:rFonts w:ascii="仿宋" w:hAnsi="仿宋" w:eastAsia="仿宋"/>
                <w:sz w:val="18"/>
                <w:szCs w:val="18"/>
              </w:rPr>
            </w:pPr>
            <w:r>
              <w:rPr>
                <w:rFonts w:hint="eastAsia" w:ascii="仿宋" w:hAnsi="仿宋" w:eastAsia="仿宋"/>
                <w:sz w:val="18"/>
                <w:szCs w:val="18"/>
              </w:rPr>
              <w:t>投标人应在充分理解本项目需求的基础上，针对本项目编制售后服务方案，包括但不限于服务内容、响应时间、人员安排、现场培训、技术指导、终身免费服务等。</w:t>
            </w:r>
          </w:p>
          <w:p w14:paraId="49882192">
            <w:pPr>
              <w:pStyle w:val="26"/>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内容详实，售后服务方案科学、合理，考虑周全，到位，针对性强，得</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w:t>
            </w:r>
            <w:r>
              <w:rPr>
                <w:rFonts w:hint="eastAsia" w:ascii="仿宋" w:hAnsi="仿宋" w:eastAsia="仿宋"/>
                <w:color w:val="auto"/>
                <w:sz w:val="18"/>
                <w:szCs w:val="18"/>
                <w:lang w:val="en-US" w:eastAsia="zh-CN"/>
              </w:rPr>
              <w:t>3</w:t>
            </w:r>
            <w:r>
              <w:rPr>
                <w:rFonts w:hint="eastAsia" w:ascii="仿宋" w:hAnsi="仿宋" w:eastAsia="仿宋"/>
                <w:color w:val="auto"/>
                <w:sz w:val="18"/>
                <w:szCs w:val="18"/>
              </w:rPr>
              <w:t>分；</w:t>
            </w:r>
          </w:p>
          <w:p w14:paraId="067CBA5B">
            <w:pPr>
              <w:pStyle w:val="26"/>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内容完整，售后服务方案基本科学、合理，基本考虑周全，基本到位，得</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分；</w:t>
            </w:r>
          </w:p>
          <w:p w14:paraId="7A05E024">
            <w:pPr>
              <w:pStyle w:val="26"/>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内容基本完整，售后服务方案科学、合理，有待优化，针对性一般，得</w:t>
            </w:r>
            <w:r>
              <w:rPr>
                <w:rFonts w:hint="eastAsia" w:ascii="仿宋" w:hAnsi="仿宋" w:eastAsia="仿宋"/>
                <w:color w:val="auto"/>
                <w:sz w:val="18"/>
                <w:szCs w:val="18"/>
                <w:lang w:val="en-US" w:eastAsia="zh-CN"/>
              </w:rPr>
              <w:t>0</w:t>
            </w:r>
            <w:r>
              <w:rPr>
                <w:rFonts w:hint="eastAsia" w:ascii="仿宋" w:hAnsi="仿宋" w:eastAsia="仿宋"/>
                <w:color w:val="auto"/>
                <w:sz w:val="18"/>
                <w:szCs w:val="18"/>
              </w:rPr>
              <w:t>-</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分；</w:t>
            </w:r>
          </w:p>
          <w:p w14:paraId="4E74AFE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sz w:val="18"/>
                <w:szCs w:val="18"/>
              </w:rPr>
              <w:t>没有不得分。</w:t>
            </w:r>
          </w:p>
        </w:tc>
      </w:tr>
      <w:tr w14:paraId="137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9" w:hRule="atLeast"/>
          <w:jc w:val="center"/>
        </w:trPr>
        <w:tc>
          <w:tcPr>
            <w:tcW w:w="421" w:type="dxa"/>
            <w:vAlign w:val="center"/>
          </w:tcPr>
          <w:p w14:paraId="7983774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10</w:t>
            </w:r>
          </w:p>
        </w:tc>
        <w:tc>
          <w:tcPr>
            <w:tcW w:w="1275" w:type="dxa"/>
            <w:vAlign w:val="center"/>
          </w:tcPr>
          <w:p w14:paraId="4384E02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合理化建议</w:t>
            </w:r>
          </w:p>
        </w:tc>
        <w:tc>
          <w:tcPr>
            <w:tcW w:w="709" w:type="dxa"/>
            <w:vAlign w:val="center"/>
          </w:tcPr>
          <w:p w14:paraId="5B97F289">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w:t>
            </w:r>
          </w:p>
        </w:tc>
        <w:tc>
          <w:tcPr>
            <w:tcW w:w="6311" w:type="dxa"/>
            <w:vAlign w:val="center"/>
          </w:tcPr>
          <w:p w14:paraId="6F405EB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lang w:val="en-US" w:eastAsia="zh-CN"/>
              </w:rPr>
              <w:t>招</w:t>
            </w:r>
            <w:r>
              <w:rPr>
                <w:rFonts w:hint="eastAsia" w:ascii="仿宋" w:hAnsi="仿宋" w:eastAsia="仿宋" w:cs="仿宋"/>
                <w:snapToGrid w:val="0"/>
                <w:kern w:val="0"/>
                <w:sz w:val="18"/>
                <w:szCs w:val="18"/>
              </w:rPr>
              <w:t>标方每采纳1条得</w:t>
            </w:r>
            <w:r>
              <w:rPr>
                <w:rFonts w:hint="eastAsia" w:ascii="仿宋" w:hAnsi="仿宋" w:eastAsia="仿宋" w:cs="仿宋"/>
                <w:snapToGrid w:val="0"/>
                <w:kern w:val="0"/>
                <w:sz w:val="18"/>
                <w:szCs w:val="18"/>
                <w:lang w:val="en-US" w:eastAsia="zh-CN"/>
              </w:rPr>
              <w:t>0.5</w:t>
            </w:r>
            <w:r>
              <w:rPr>
                <w:rFonts w:hint="eastAsia" w:ascii="仿宋" w:hAnsi="仿宋" w:eastAsia="仿宋" w:cs="仿宋"/>
                <w:snapToGrid w:val="0"/>
                <w:kern w:val="0"/>
                <w:sz w:val="18"/>
                <w:szCs w:val="18"/>
              </w:rPr>
              <w:t>分，最高</w:t>
            </w:r>
            <w:r>
              <w:rPr>
                <w:rFonts w:hint="eastAsia" w:ascii="仿宋" w:hAnsi="仿宋" w:eastAsia="仿宋" w:cs="仿宋"/>
                <w:snapToGrid w:val="0"/>
                <w:kern w:val="0"/>
                <w:sz w:val="18"/>
                <w:szCs w:val="18"/>
                <w:lang w:val="en-US" w:eastAsia="zh-CN"/>
              </w:rPr>
              <w:t>1</w:t>
            </w:r>
            <w:r>
              <w:rPr>
                <w:rFonts w:hint="eastAsia" w:ascii="仿宋" w:hAnsi="仿宋" w:eastAsia="仿宋" w:cs="仿宋"/>
                <w:snapToGrid w:val="0"/>
                <w:kern w:val="0"/>
                <w:sz w:val="18"/>
                <w:szCs w:val="18"/>
              </w:rPr>
              <w:t>分；</w:t>
            </w:r>
          </w:p>
        </w:tc>
      </w:tr>
      <w:tr w14:paraId="7EE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A9908D">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11</w:t>
            </w:r>
          </w:p>
        </w:tc>
        <w:tc>
          <w:tcPr>
            <w:tcW w:w="1275" w:type="dxa"/>
            <w:vAlign w:val="center"/>
          </w:tcPr>
          <w:p w14:paraId="281B593A">
            <w:pPr>
              <w:snapToGrid w:val="0"/>
              <w:spacing w:line="240" w:lineRule="exact"/>
              <w:jc w:val="center"/>
              <w:rPr>
                <w:rFonts w:ascii="仿宋" w:hAnsi="仿宋" w:eastAsia="仿宋" w:cs="仿宋"/>
                <w:snapToGrid w:val="0"/>
                <w:kern w:val="0"/>
                <w:sz w:val="18"/>
                <w:szCs w:val="18"/>
              </w:rPr>
            </w:pPr>
            <w:r>
              <w:rPr>
                <w:rFonts w:ascii="仿宋" w:hAnsi="仿宋" w:eastAsia="仿宋"/>
                <w:sz w:val="18"/>
                <w:szCs w:val="18"/>
              </w:rPr>
              <w:t>综合评价</w:t>
            </w:r>
          </w:p>
        </w:tc>
        <w:tc>
          <w:tcPr>
            <w:tcW w:w="709" w:type="dxa"/>
            <w:vAlign w:val="center"/>
          </w:tcPr>
          <w:p w14:paraId="3C3ABE0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49979C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由评委根据投标人投标文件编制的详实、合理、认真程度等综合印象进行独立打</w:t>
            </w:r>
            <w:r>
              <w:rPr>
                <w:rFonts w:hint="eastAsia" w:ascii="仿宋" w:hAnsi="仿宋" w:eastAsia="仿宋" w:cs="仿宋"/>
                <w:snapToGrid w:val="0"/>
                <w:kern w:val="0"/>
                <w:sz w:val="18"/>
                <w:szCs w:val="18"/>
              </w:rPr>
              <w:t>分</w:t>
            </w:r>
            <w:r>
              <w:rPr>
                <w:rFonts w:ascii="仿宋" w:hAnsi="仿宋" w:eastAsia="仿宋" w:cs="仿宋"/>
                <w:snapToGrid w:val="0"/>
                <w:kern w:val="0"/>
                <w:sz w:val="18"/>
                <w:szCs w:val="18"/>
              </w:rPr>
              <w:t>0-3分</w:t>
            </w:r>
          </w:p>
        </w:tc>
      </w:tr>
    </w:tbl>
    <w:p w14:paraId="67DF5468">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7DB5FB2F">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49723F5F">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EF5FEBF">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hint="eastAsia" w:ascii="仿宋" w:hAnsi="仿宋" w:eastAsia="仿宋"/>
          <w:sz w:val="28"/>
          <w:szCs w:val="28"/>
          <w:lang w:val="en-US" w:eastAsia="zh-CN"/>
        </w:rPr>
        <w:t>10</w:t>
      </w:r>
      <w:r>
        <w:rPr>
          <w:rFonts w:hint="eastAsia" w:ascii="仿宋" w:hAnsi="仿宋" w:eastAsia="仿宋"/>
          <w:sz w:val="28"/>
          <w:szCs w:val="28"/>
        </w:rPr>
        <w:t>日内，按买方约定的时间、地点与买方签订合同。</w:t>
      </w:r>
    </w:p>
    <w:p w14:paraId="7E3ABA0D">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ascii="仿宋" w:hAnsi="仿宋" w:eastAsia="仿宋"/>
          <w:b/>
          <w:bCs/>
          <w:sz w:val="28"/>
          <w:szCs w:val="28"/>
        </w:rPr>
      </w:pPr>
      <w:r>
        <w:rPr>
          <w:rFonts w:hint="eastAsia" w:ascii="仿宋" w:hAnsi="仿宋" w:eastAsia="仿宋"/>
          <w:b/>
          <w:bCs/>
          <w:sz w:val="28"/>
          <w:szCs w:val="28"/>
        </w:rPr>
        <w:t>六、投标人资格审查文件</w:t>
      </w:r>
    </w:p>
    <w:p w14:paraId="6A67207A">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1155DD5D">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2619E19F">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49F16A60">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4D8AC801">
      <w:pPr>
        <w:spacing w:line="460" w:lineRule="exact"/>
        <w:ind w:firstLine="560" w:firstLineChars="200"/>
        <w:rPr>
          <w:rFonts w:ascii="仿宋" w:hAnsi="仿宋" w:eastAsia="仿宋"/>
          <w:sz w:val="28"/>
          <w:szCs w:val="28"/>
        </w:rPr>
      </w:pPr>
      <w:r>
        <w:rPr>
          <w:rFonts w:hint="eastAsia" w:ascii="仿宋" w:hAnsi="仿宋" w:eastAsia="仿宋"/>
          <w:sz w:val="28"/>
          <w:szCs w:val="28"/>
        </w:rPr>
        <w:t>4) 质量、环境、健康等保证体系及其质量认证证明；</w:t>
      </w:r>
    </w:p>
    <w:p w14:paraId="6027B41D">
      <w:pPr>
        <w:spacing w:line="460" w:lineRule="exact"/>
        <w:ind w:firstLine="560" w:firstLineChars="200"/>
        <w:rPr>
          <w:rFonts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6E35AFFF">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3CB80BEE">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投标保证金（人民币：贰万元整     </w:t>
      </w:r>
      <w:r>
        <w:rPr>
          <w:rFonts w:hint="eastAsia" w:ascii="仿宋" w:hAnsi="仿宋" w:eastAsia="仿宋" w:cs="仿宋"/>
          <w:sz w:val="28"/>
          <w:szCs w:val="28"/>
        </w:rPr>
        <w:t>￥200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7BAE8E3C">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26</w:t>
      </w:r>
      <w:r>
        <w:rPr>
          <w:rFonts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时（北京时间）前到账，投标截止时间之后递交的投标保证金将被拒绝。公对公电汇转账方式缴纳（不接受现金及个人转账）。 最终以洛阳万基宏远电力有限公司财务所开收到凭证为准。</w:t>
      </w:r>
    </w:p>
    <w:p w14:paraId="72939FC3">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2464E15F">
      <w:pPr>
        <w:spacing w:line="52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洛阳万基宏远电力有限公司</w:t>
      </w:r>
    </w:p>
    <w:p w14:paraId="4D26B1C8">
      <w:pPr>
        <w:spacing w:line="52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工商银行新安支行</w:t>
      </w:r>
      <w:r>
        <w:rPr>
          <w:rFonts w:ascii="仿宋" w:hAnsi="仿宋" w:eastAsia="仿宋"/>
          <w:b/>
          <w:color w:val="FF0000"/>
          <w:sz w:val="28"/>
          <w:szCs w:val="28"/>
        </w:rPr>
        <w:tab/>
      </w:r>
    </w:p>
    <w:p w14:paraId="607F2F4E">
      <w:pPr>
        <w:spacing w:line="520" w:lineRule="exact"/>
        <w:ind w:firstLine="560" w:firstLineChars="200"/>
        <w:rPr>
          <w:rFonts w:ascii="仿宋" w:hAnsi="仿宋" w:eastAsia="仿宋"/>
          <w:sz w:val="28"/>
          <w:szCs w:val="28"/>
        </w:rPr>
      </w:pPr>
      <w:r>
        <w:rPr>
          <w:rFonts w:hint="eastAsia" w:ascii="仿宋" w:hAnsi="仿宋" w:eastAsia="仿宋"/>
          <w:sz w:val="28"/>
          <w:szCs w:val="28"/>
        </w:rPr>
        <w:t>账    号：</w:t>
      </w:r>
      <w:r>
        <w:rPr>
          <w:rFonts w:ascii="仿宋" w:hAnsi="仿宋" w:eastAsia="仿宋"/>
          <w:b/>
          <w:color w:val="FF0000"/>
          <w:sz w:val="28"/>
          <w:szCs w:val="28"/>
        </w:rPr>
        <w:t>1705027609200195684</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5EFC7F0F">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3006886F">
      <w:pPr>
        <w:spacing w:line="700" w:lineRule="exact"/>
        <w:rPr>
          <w:rFonts w:hint="eastAsia" w:ascii="仿宋" w:hAnsi="仿宋" w:eastAsia="仿宋"/>
          <w:sz w:val="28"/>
          <w:szCs w:val="24"/>
        </w:rPr>
      </w:pPr>
    </w:p>
    <w:p w14:paraId="64844864">
      <w:pPr>
        <w:spacing w:line="700" w:lineRule="exact"/>
        <w:rPr>
          <w:rFonts w:hint="eastAsia" w:ascii="仿宋" w:hAnsi="仿宋" w:eastAsia="仿宋"/>
          <w:sz w:val="28"/>
          <w:szCs w:val="24"/>
        </w:rPr>
      </w:pPr>
    </w:p>
    <w:p w14:paraId="4E6F17F4">
      <w:pPr>
        <w:spacing w:line="700" w:lineRule="exact"/>
        <w:rPr>
          <w:rFonts w:hint="eastAsia" w:ascii="仿宋" w:hAnsi="仿宋" w:eastAsia="仿宋"/>
          <w:sz w:val="28"/>
          <w:szCs w:val="24"/>
        </w:rPr>
      </w:pPr>
    </w:p>
    <w:p w14:paraId="4D44811F">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23BB742C">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14313BB1">
      <w:pPr>
        <w:spacing w:line="480" w:lineRule="exact"/>
        <w:ind w:firstLine="640" w:firstLineChars="200"/>
        <w:rPr>
          <w:rFonts w:ascii="仿宋" w:hAnsi="仿宋" w:eastAsia="仿宋"/>
          <w:sz w:val="32"/>
          <w:szCs w:val="32"/>
        </w:rPr>
      </w:pPr>
    </w:p>
    <w:p w14:paraId="0AA7272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2144AE3">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5048E86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F43E3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2E040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5D198FF">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C3E6B9E">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6B3AF3D6">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、不发生其他</w:t>
      </w:r>
      <w:r>
        <w:rPr>
          <w:rFonts w:ascii="仿宋" w:hAnsi="仿宋" w:eastAsia="仿宋"/>
          <w:sz w:val="32"/>
          <w:szCs w:val="32"/>
        </w:rPr>
        <w:t>违反</w:t>
      </w:r>
      <w:r>
        <w:rPr>
          <w:rFonts w:hint="eastAsia" w:ascii="仿宋" w:hAnsi="仿宋" w:eastAsia="仿宋"/>
          <w:sz w:val="32"/>
          <w:szCs w:val="32"/>
        </w:rPr>
        <w:t>招投标法律法规的行为。</w:t>
      </w:r>
    </w:p>
    <w:p w14:paraId="19033DF0">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、不发生其他不廉洁、不正当行为，包括但不限于给予招标人工作人员及近亲属、特定关系人请吃请喝、购物卡、现金、高档礼品、高档消费、违规合作经商等行为。</w:t>
      </w:r>
    </w:p>
    <w:p w14:paraId="7CC87B03">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117674C4">
      <w:pPr>
        <w:spacing w:line="420" w:lineRule="exact"/>
        <w:rPr>
          <w:rFonts w:ascii="仿宋" w:hAnsi="仿宋" w:eastAsia="仿宋"/>
          <w:sz w:val="32"/>
          <w:szCs w:val="32"/>
        </w:rPr>
      </w:pPr>
    </w:p>
    <w:p w14:paraId="1C04EC3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3709819F">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218DAB95">
      <w:pPr>
        <w:spacing w:line="500" w:lineRule="exact"/>
        <w:ind w:firstLine="5440" w:firstLineChars="1700"/>
        <w:rPr>
          <w:rFonts w:ascii="仿宋" w:hAnsi="仿宋" w:eastAsia="仿宋"/>
          <w:sz w:val="28"/>
          <w:szCs w:val="28"/>
        </w:rPr>
      </w:pPr>
      <w:r>
        <w:rPr>
          <w:rFonts w:hint="eastAsia" w:ascii="仿宋" w:hAnsi="仿宋" w:eastAsia="仿宋"/>
          <w:sz w:val="32"/>
          <w:szCs w:val="32"/>
        </w:rPr>
        <w:t>2026年  月    日</w:t>
      </w:r>
    </w:p>
    <w:p w14:paraId="088836C3">
      <w:pPr>
        <w:spacing w:line="500" w:lineRule="exact"/>
        <w:rPr>
          <w:rFonts w:ascii="仿宋" w:hAnsi="仿宋" w:eastAsia="仿宋"/>
          <w:sz w:val="28"/>
          <w:szCs w:val="28"/>
        </w:rPr>
      </w:pP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0C1FC80D">
      <w:pPr>
        <w:pStyle w:val="5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F8CF28C">
      <w:pPr>
        <w:pStyle w:val="5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C881D74">
      <w:pPr>
        <w:pStyle w:val="5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304390D">
      <w:pPr>
        <w:pStyle w:val="56"/>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240D647E">
      <w:pPr>
        <w:pStyle w:val="56"/>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56"/>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CE86660">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6AAC36A2">
      <w:pPr>
        <w:spacing w:line="700" w:lineRule="exact"/>
        <w:rPr>
          <w:rFonts w:ascii="仿宋" w:hAnsi="仿宋" w:eastAsia="仿宋"/>
          <w:sz w:val="28"/>
          <w:szCs w:val="24"/>
        </w:rPr>
      </w:pPr>
    </w:p>
    <w:p w14:paraId="6BB8C2CF">
      <w:pPr>
        <w:spacing w:line="700" w:lineRule="exact"/>
        <w:rPr>
          <w:rFonts w:ascii="仿宋" w:hAnsi="仿宋" w:eastAsia="仿宋"/>
          <w:sz w:val="28"/>
          <w:szCs w:val="24"/>
        </w:rPr>
      </w:pPr>
    </w:p>
    <w:p w14:paraId="1F719C5D">
      <w:pPr>
        <w:spacing w:line="700" w:lineRule="exact"/>
        <w:rPr>
          <w:rFonts w:ascii="仿宋" w:hAnsi="仿宋" w:eastAsia="仿宋"/>
          <w:sz w:val="28"/>
          <w:szCs w:val="24"/>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7F8C51A2">
      <w:pPr>
        <w:tabs>
          <w:tab w:val="left" w:pos="630"/>
        </w:tabs>
        <w:spacing w:line="360" w:lineRule="auto"/>
        <w:jc w:val="center"/>
        <w:rPr>
          <w:rFonts w:ascii="仿宋" w:hAnsi="仿宋" w:eastAsia="仿宋"/>
          <w:b/>
          <w:sz w:val="32"/>
          <w:szCs w:val="32"/>
        </w:rPr>
      </w:pPr>
    </w:p>
    <w:p w14:paraId="03CB02C6">
      <w:pPr>
        <w:tabs>
          <w:tab w:val="left" w:pos="630"/>
        </w:tabs>
        <w:spacing w:line="360" w:lineRule="auto"/>
        <w:jc w:val="center"/>
        <w:rPr>
          <w:rFonts w:ascii="仿宋" w:hAnsi="仿宋" w:eastAsia="仿宋"/>
          <w:b/>
          <w:sz w:val="32"/>
          <w:szCs w:val="32"/>
        </w:rPr>
      </w:pPr>
      <w:r>
        <w:rPr>
          <w:rFonts w:ascii="仿宋" w:hAnsi="仿宋" w:eastAsia="仿宋"/>
          <w:b/>
          <w:sz w:val="32"/>
          <w:szCs w:val="32"/>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u w:val="single"/>
        </w:rPr>
      </w:pPr>
      <w:r>
        <w:rPr>
          <w:rFonts w:ascii="仿宋" w:hAnsi="仿宋" w:eastAsia="仿宋"/>
        </w:rPr>
        <w:t>项目名称：</w:t>
      </w:r>
      <w:r>
        <w:rPr>
          <w:rFonts w:hint="eastAsia" w:ascii="仿宋" w:hAnsi="仿宋" w:eastAsia="仿宋"/>
          <w:u w:val="single"/>
        </w:rPr>
        <w:t xml:space="preserve"> </w:t>
      </w:r>
      <w:r>
        <w:rPr>
          <w:rFonts w:ascii="仿宋" w:hAnsi="仿宋" w:eastAsia="仿宋"/>
          <w:u w:val="single"/>
        </w:rPr>
        <w:t>*********************</w:t>
      </w:r>
      <w:r>
        <w:rPr>
          <w:rFonts w:hint="eastAsia" w:ascii="仿宋" w:hAnsi="仿宋" w:eastAsia="仿宋"/>
          <w:u w:val="single"/>
        </w:rPr>
        <w:t>项目</w:t>
      </w:r>
    </w:p>
    <w:p w14:paraId="5A3B1C7B">
      <w:pPr>
        <w:tabs>
          <w:tab w:val="left" w:pos="630"/>
        </w:tabs>
        <w:spacing w:line="360" w:lineRule="auto"/>
        <w:rPr>
          <w:rFonts w:ascii="仿宋" w:hAnsi="仿宋" w:eastAsia="仿宋"/>
          <w:u w:val="single"/>
        </w:rPr>
      </w:pPr>
      <w:r>
        <w:rPr>
          <w:rFonts w:ascii="仿宋" w:hAnsi="仿宋" w:eastAsia="仿宋"/>
        </w:rPr>
        <w:t xml:space="preserve">日    期： </w:t>
      </w:r>
      <w:r>
        <w:rPr>
          <w:rFonts w:ascii="仿宋" w:hAnsi="仿宋" w:eastAsia="仿宋"/>
          <w:u w:val="single"/>
        </w:rPr>
        <w:t xml:space="preserve">            </w:t>
      </w:r>
    </w:p>
    <w:p w14:paraId="28C08529">
      <w:pPr>
        <w:tabs>
          <w:tab w:val="left" w:pos="630"/>
        </w:tabs>
        <w:spacing w:line="360" w:lineRule="auto"/>
        <w:rPr>
          <w:rFonts w:ascii="仿宋" w:hAnsi="仿宋" w:eastAsia="仿宋"/>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0537109E">
      <w:pPr>
        <w:rPr>
          <w:rFonts w:ascii="仿宋" w:hAnsi="仿宋" w:eastAsia="仿宋"/>
          <w:sz w:val="32"/>
          <w:szCs w:val="32"/>
        </w:rPr>
      </w:pPr>
      <w:r>
        <w:rPr>
          <w:rFonts w:ascii="仿宋" w:hAnsi="仿宋" w:eastAsia="仿宋"/>
          <w:sz w:val="32"/>
          <w:szCs w:val="32"/>
        </w:rPr>
        <w:t xml:space="preserve">                                       投标人公章：</w:t>
      </w:r>
    </w:p>
    <w:p w14:paraId="2C852C15">
      <w:pPr>
        <w:spacing w:line="360" w:lineRule="auto"/>
      </w:pPr>
    </w:p>
    <w:p w14:paraId="1FCC3B01">
      <w:pPr>
        <w:spacing w:line="500" w:lineRule="exact"/>
        <w:rPr>
          <w:rFonts w:ascii="仿宋" w:hAnsi="仿宋" w:eastAsia="仿宋"/>
          <w:sz w:val="28"/>
          <w:szCs w:val="24"/>
        </w:rPr>
      </w:pPr>
    </w:p>
    <w:p w14:paraId="73F760E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4C3398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340974C7">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1B63ABF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794E0B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13B31513">
      <w:pPr>
        <w:tabs>
          <w:tab w:val="left" w:pos="630"/>
          <w:tab w:val="left" w:pos="7560"/>
        </w:tabs>
        <w:spacing w:line="360" w:lineRule="auto"/>
        <w:rPr>
          <w:rFonts w:hint="eastAsia" w:ascii="仿宋" w:hAnsi="仿宋" w:eastAsia="仿宋"/>
          <w:sz w:val="28"/>
          <w:szCs w:val="28"/>
        </w:rPr>
      </w:pPr>
    </w:p>
    <w:p w14:paraId="2E7DE8B5">
      <w:pPr>
        <w:tabs>
          <w:tab w:val="left" w:pos="630"/>
          <w:tab w:val="left" w:pos="7560"/>
        </w:tabs>
        <w:spacing w:line="360" w:lineRule="auto"/>
        <w:jc w:val="center"/>
        <w:rPr>
          <w:rFonts w:hint="eastAsia" w:ascii="仿宋" w:hAnsi="仿宋" w:eastAsia="仿宋" w:cs="Times New Roman"/>
          <w:b/>
          <w:bCs/>
          <w:color w:val="auto"/>
          <w:sz w:val="30"/>
          <w:szCs w:val="30"/>
          <w:lang w:val="en-US" w:eastAsia="zh-CN"/>
        </w:rPr>
      </w:pPr>
    </w:p>
    <w:p w14:paraId="5D47C21D">
      <w:pPr>
        <w:tabs>
          <w:tab w:val="left" w:pos="630"/>
          <w:tab w:val="left" w:pos="7560"/>
        </w:tabs>
        <w:spacing w:line="360" w:lineRule="auto"/>
        <w:jc w:val="center"/>
        <w:rPr>
          <w:rFonts w:hint="eastAsia" w:ascii="仿宋" w:hAnsi="仿宋" w:eastAsia="仿宋" w:cs="Times New Roman"/>
          <w:b/>
          <w:bCs/>
          <w:color w:val="auto"/>
          <w:sz w:val="32"/>
          <w:szCs w:val="32"/>
          <w:lang w:val="en-US" w:eastAsia="zh-CN"/>
        </w:rPr>
      </w:pPr>
      <w:r>
        <w:rPr>
          <w:rFonts w:hint="eastAsia" w:ascii="仿宋" w:hAnsi="仿宋" w:eastAsia="仿宋" w:cs="Times New Roman"/>
          <w:b/>
          <w:bCs/>
          <w:color w:val="auto"/>
          <w:sz w:val="32"/>
          <w:szCs w:val="32"/>
          <w:lang w:val="en-US" w:eastAsia="zh-CN"/>
        </w:rPr>
        <w:t>宏远电力#2机组锅炉原煤仓分仓改造</w:t>
      </w:r>
      <w:r>
        <w:rPr>
          <w:rFonts w:hint="eastAsia" w:ascii="仿宋" w:hAnsi="仿宋" w:eastAsia="仿宋" w:cs="Times New Roman"/>
          <w:b/>
          <w:bCs/>
          <w:color w:val="auto"/>
          <w:sz w:val="32"/>
          <w:szCs w:val="32"/>
          <w:lang w:val="en-US" w:eastAsia="zh-CN"/>
        </w:rPr>
        <w:t>报价单</w:t>
      </w:r>
    </w:p>
    <w:p w14:paraId="2F5604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53C6CB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3EE50E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61"/>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63"/>
        <w:gridCol w:w="1573"/>
        <w:gridCol w:w="438"/>
        <w:gridCol w:w="382"/>
        <w:gridCol w:w="1253"/>
        <w:gridCol w:w="1253"/>
        <w:gridCol w:w="853"/>
      </w:tblGrid>
      <w:tr w14:paraId="0C2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169440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3063" w:type="dxa"/>
            <w:tcBorders>
              <w:bottom w:val="single" w:color="auto" w:sz="4" w:space="0"/>
            </w:tcBorders>
            <w:noWrap w:val="0"/>
            <w:vAlign w:val="center"/>
          </w:tcPr>
          <w:p w14:paraId="276217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573" w:type="dxa"/>
            <w:tcBorders>
              <w:bottom w:val="single" w:color="auto" w:sz="4" w:space="0"/>
            </w:tcBorders>
            <w:noWrap w:val="0"/>
            <w:vAlign w:val="center"/>
          </w:tcPr>
          <w:p w14:paraId="29BA64A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438" w:type="dxa"/>
            <w:tcBorders>
              <w:bottom w:val="single" w:color="auto" w:sz="4" w:space="0"/>
            </w:tcBorders>
            <w:noWrap w:val="0"/>
            <w:vAlign w:val="center"/>
          </w:tcPr>
          <w:p w14:paraId="03D8D7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382" w:type="dxa"/>
            <w:tcBorders>
              <w:bottom w:val="single" w:color="auto" w:sz="4" w:space="0"/>
            </w:tcBorders>
            <w:noWrap w:val="0"/>
            <w:vAlign w:val="center"/>
          </w:tcPr>
          <w:p w14:paraId="29ACFA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253" w:type="dxa"/>
            <w:noWrap w:val="0"/>
            <w:vAlign w:val="center"/>
          </w:tcPr>
          <w:p w14:paraId="5580972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253" w:type="dxa"/>
            <w:noWrap w:val="0"/>
            <w:vAlign w:val="center"/>
          </w:tcPr>
          <w:p w14:paraId="43729E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70FFBDF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2825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trPr>
        <w:tc>
          <w:tcPr>
            <w:tcW w:w="768" w:type="dxa"/>
            <w:noWrap w:val="0"/>
            <w:vAlign w:val="center"/>
          </w:tcPr>
          <w:p w14:paraId="38B676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3063" w:type="dxa"/>
            <w:noWrap w:val="0"/>
            <w:vAlign w:val="center"/>
          </w:tcPr>
          <w:p w14:paraId="1280DF0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宏远电力#2机组锅炉原煤仓分仓改造</w:t>
            </w:r>
          </w:p>
          <w:p w14:paraId="41469BD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p>
        </w:tc>
        <w:tc>
          <w:tcPr>
            <w:tcW w:w="1573" w:type="dxa"/>
            <w:noWrap w:val="0"/>
            <w:vAlign w:val="center"/>
          </w:tcPr>
          <w:p w14:paraId="2C9817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详见技术要求</w:t>
            </w:r>
          </w:p>
        </w:tc>
        <w:tc>
          <w:tcPr>
            <w:tcW w:w="438" w:type="dxa"/>
            <w:noWrap w:val="0"/>
            <w:vAlign w:val="center"/>
          </w:tcPr>
          <w:p w14:paraId="7DA1BE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0E1B27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253" w:type="dxa"/>
            <w:noWrap w:val="0"/>
            <w:vAlign w:val="center"/>
          </w:tcPr>
          <w:p w14:paraId="28D537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657C50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047C6F9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FA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831" w:type="dxa"/>
            <w:gridSpan w:val="2"/>
            <w:noWrap w:val="0"/>
            <w:vAlign w:val="center"/>
          </w:tcPr>
          <w:p w14:paraId="62AEF1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5752" w:type="dxa"/>
            <w:gridSpan w:val="6"/>
            <w:noWrap w:val="0"/>
            <w:vAlign w:val="center"/>
          </w:tcPr>
          <w:p w14:paraId="327754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04BD653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val="en-US" w:eastAsia="zh-CN"/>
        </w:rPr>
      </w:pPr>
      <w:r>
        <w:rPr>
          <w:rFonts w:hint="eastAsia" w:ascii="仿宋" w:hAnsi="仿宋" w:eastAsia="仿宋"/>
          <w:b w:val="0"/>
          <w:bCs w:val="0"/>
          <w:color w:val="auto"/>
          <w:sz w:val="30"/>
          <w:szCs w:val="30"/>
          <w:lang w:val="en-US" w:eastAsia="zh-CN"/>
        </w:rPr>
        <w:t>1</w:t>
      </w:r>
      <w:r>
        <w:rPr>
          <w:rFonts w:hint="eastAsia" w:ascii="仿宋" w:hAnsi="仿宋" w:eastAsia="仿宋" w:cs="Times New Roman"/>
          <w:b w:val="0"/>
          <w:bCs w:val="0"/>
          <w:color w:val="auto"/>
          <w:sz w:val="30"/>
          <w:szCs w:val="30"/>
          <w:lang w:val="en-US" w:eastAsia="zh-CN"/>
        </w:rPr>
        <w:t>、</w:t>
      </w:r>
      <w:r>
        <w:rPr>
          <w:rFonts w:hint="eastAsia" w:ascii="仿宋" w:hAnsi="仿宋" w:eastAsia="仿宋" w:cs="Times New Roman"/>
          <w:b w:val="0"/>
          <w:bCs w:val="0"/>
          <w:color w:val="auto"/>
          <w:sz w:val="30"/>
          <w:szCs w:val="30"/>
          <w:lang w:eastAsia="zh-CN"/>
        </w:rPr>
        <w:t>交货期：合同签订生效后</w:t>
      </w:r>
      <w:r>
        <w:rPr>
          <w:rFonts w:hint="eastAsia" w:ascii="仿宋" w:hAnsi="仿宋" w:eastAsia="仿宋" w:cs="Times New Roman"/>
          <w:b w:val="0"/>
          <w:bCs w:val="0"/>
          <w:color w:val="auto"/>
          <w:sz w:val="30"/>
          <w:szCs w:val="30"/>
          <w:u w:val="single"/>
          <w:lang w:val="en-US" w:eastAsia="zh-CN"/>
        </w:rPr>
        <w:t xml:space="preserve">     </w:t>
      </w:r>
      <w:r>
        <w:rPr>
          <w:rFonts w:hint="eastAsia" w:ascii="仿宋" w:hAnsi="仿宋" w:eastAsia="仿宋" w:cs="Times New Roman"/>
          <w:b w:val="0"/>
          <w:bCs w:val="0"/>
          <w:color w:val="auto"/>
          <w:sz w:val="30"/>
          <w:szCs w:val="30"/>
          <w:lang w:eastAsia="zh-CN"/>
        </w:rPr>
        <w:t>天交货完毕并完成安装调试（</w:t>
      </w:r>
      <w:r>
        <w:rPr>
          <w:rFonts w:hint="eastAsia" w:ascii="仿宋" w:hAnsi="仿宋" w:eastAsia="仿宋" w:cs="Times New Roman"/>
          <w:b w:val="0"/>
          <w:bCs w:val="0"/>
          <w:color w:val="auto"/>
          <w:sz w:val="30"/>
          <w:szCs w:val="30"/>
          <w:lang w:val="en-US" w:eastAsia="zh-CN"/>
        </w:rPr>
        <w:t>不超过20天</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30"/>
          <w:szCs w:val="30"/>
          <w:lang w:val="en-US" w:eastAsia="zh-CN"/>
        </w:rPr>
        <w:t>。</w:t>
      </w:r>
    </w:p>
    <w:p w14:paraId="1212B792">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2、报价要求为总包价（交钥匙工程），一票制，税率为</w:t>
      </w:r>
      <w:r>
        <w:rPr>
          <w:rFonts w:hint="eastAsia" w:ascii="仿宋" w:hAnsi="仿宋" w:eastAsia="仿宋" w:cs="Times New Roman"/>
          <w:b w:val="0"/>
          <w:bCs w:val="0"/>
          <w:color w:val="auto"/>
          <w:sz w:val="30"/>
          <w:szCs w:val="30"/>
          <w:lang w:val="en-US" w:eastAsia="zh-CN"/>
        </w:rPr>
        <w:t>13%的增值税,</w:t>
      </w:r>
      <w:r>
        <w:rPr>
          <w:rFonts w:hint="eastAsia" w:ascii="仿宋" w:hAnsi="仿宋" w:eastAsia="仿宋" w:cs="Times New Roman"/>
          <w:b w:val="0"/>
          <w:bCs w:val="0"/>
          <w:color w:val="auto"/>
          <w:sz w:val="30"/>
          <w:szCs w:val="30"/>
          <w:lang w:eastAsia="zh-CN"/>
        </w:rPr>
        <w:t>报</w:t>
      </w:r>
      <w:r>
        <w:rPr>
          <w:rFonts w:hint="eastAsia" w:ascii="仿宋" w:hAnsi="仿宋" w:eastAsia="仿宋" w:cs="Times New Roman"/>
          <w:b w:val="0"/>
          <w:bCs w:val="0"/>
          <w:color w:val="auto"/>
          <w:sz w:val="30"/>
          <w:szCs w:val="30"/>
          <w:lang w:val="en-US" w:eastAsia="zh-CN"/>
        </w:rPr>
        <w:t>价应含项目所包含的所有费用，即</w:t>
      </w:r>
      <w:r>
        <w:rPr>
          <w:rFonts w:hint="eastAsia" w:ascii="仿宋" w:hAnsi="仿宋" w:eastAsia="仿宋" w:cs="Times New Roman"/>
          <w:b w:val="0"/>
          <w:bCs w:val="0"/>
          <w:color w:val="auto"/>
          <w:sz w:val="30"/>
          <w:szCs w:val="30"/>
          <w:lang w:eastAsia="zh-CN"/>
        </w:rPr>
        <w:t>设备费</w:t>
      </w:r>
      <w:r>
        <w:rPr>
          <w:rFonts w:hint="eastAsia" w:ascii="仿宋" w:hAnsi="仿宋" w:eastAsia="仿宋" w:cs="Times New Roman"/>
          <w:b w:val="0"/>
          <w:bCs w:val="0"/>
          <w:color w:val="auto"/>
          <w:sz w:val="30"/>
          <w:szCs w:val="30"/>
          <w:lang w:val="en-US" w:eastAsia="zh-CN"/>
        </w:rPr>
        <w:t>(含安装辅材)</w:t>
      </w:r>
      <w:r>
        <w:rPr>
          <w:rFonts w:hint="eastAsia" w:ascii="仿宋" w:hAnsi="仿宋" w:eastAsia="仿宋" w:cs="Times New Roman"/>
          <w:b w:val="0"/>
          <w:bCs w:val="0"/>
          <w:color w:val="auto"/>
          <w:sz w:val="30"/>
          <w:szCs w:val="30"/>
          <w:lang w:eastAsia="zh-CN"/>
        </w:rPr>
        <w:t>、设备运杂费</w:t>
      </w:r>
      <w:r>
        <w:rPr>
          <w:rFonts w:hint="eastAsia" w:ascii="仿宋" w:hAnsi="仿宋" w:eastAsia="仿宋" w:cs="Times New Roman"/>
          <w:b w:val="0"/>
          <w:bCs w:val="0"/>
          <w:color w:val="auto"/>
          <w:sz w:val="30"/>
          <w:szCs w:val="30"/>
          <w:lang w:val="en-US" w:eastAsia="zh-CN"/>
        </w:rPr>
        <w:t>(含装车费、卸车费、到货后的保管费)</w:t>
      </w:r>
      <w:r>
        <w:rPr>
          <w:rFonts w:hint="eastAsia" w:ascii="仿宋" w:hAnsi="仿宋" w:eastAsia="仿宋" w:cs="Times New Roman"/>
          <w:b w:val="0"/>
          <w:bCs w:val="0"/>
          <w:color w:val="auto"/>
          <w:sz w:val="30"/>
          <w:szCs w:val="30"/>
          <w:lang w:eastAsia="zh-CN"/>
        </w:rPr>
        <w:t xml:space="preserve">、安装费、调试费、售后技术服务等一切费用。    </w:t>
      </w:r>
    </w:p>
    <w:p w14:paraId="0BAE3F4B">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3、</w:t>
      </w:r>
      <w:r>
        <w:rPr>
          <w:rFonts w:hint="eastAsia" w:ascii="仿宋" w:hAnsi="仿宋" w:eastAsia="仿宋" w:cs="Times New Roman"/>
          <w:b w:val="0"/>
          <w:bCs w:val="0"/>
          <w:color w:val="auto"/>
          <w:sz w:val="30"/>
          <w:szCs w:val="30"/>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66A011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Times New Roman"/>
          <w:b w:val="0"/>
          <w:bCs w:val="0"/>
          <w:color w:val="auto"/>
          <w:sz w:val="30"/>
          <w:szCs w:val="30"/>
          <w:lang w:val="en-US" w:eastAsia="zh-CN"/>
        </w:rPr>
        <w:t>4</w:t>
      </w:r>
      <w:r>
        <w:rPr>
          <w:rFonts w:hint="eastAsia" w:ascii="仿宋" w:hAnsi="仿宋" w:eastAsia="仿宋" w:cs="Times New Roman"/>
          <w:b w:val="0"/>
          <w:bCs w:val="0"/>
          <w:color w:val="auto"/>
          <w:sz w:val="30"/>
          <w:szCs w:val="30"/>
          <w:lang w:eastAsia="zh-CN"/>
        </w:rPr>
        <w:t>、付款方式</w:t>
      </w:r>
      <w:r>
        <w:rPr>
          <w:rFonts w:hint="eastAsia" w:ascii="仿宋" w:hAnsi="仿宋" w:eastAsia="仿宋" w:cs="Times New Roman"/>
          <w:b w:val="0"/>
          <w:bCs w:val="0"/>
          <w:color w:val="auto"/>
          <w:sz w:val="30"/>
          <w:szCs w:val="30"/>
          <w:lang w:val="en-US" w:eastAsia="zh-CN"/>
        </w:rPr>
        <w:t>(银行承兑)</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30"/>
          <w:szCs w:val="30"/>
          <w:lang w:val="en-US" w:eastAsia="zh-CN"/>
        </w:rPr>
        <w:t>。质保期满没有任何质量问题时付清。</w:t>
      </w:r>
      <w:r>
        <w:rPr>
          <w:rFonts w:hint="eastAsia" w:ascii="仿宋" w:hAnsi="仿宋" w:eastAsia="仿宋" w:cs="Times New Roman"/>
          <w:b w:val="0"/>
          <w:bCs w:val="0"/>
          <w:color w:val="auto"/>
          <w:sz w:val="30"/>
          <w:szCs w:val="30"/>
          <w:lang w:eastAsia="zh-CN"/>
        </w:rPr>
        <w:t>质保期自调试验收合格之日起</w:t>
      </w:r>
      <w:r>
        <w:rPr>
          <w:rFonts w:hint="eastAsia" w:ascii="仿宋" w:hAnsi="仿宋" w:eastAsia="仿宋" w:cs="Times New Roman"/>
          <w:b w:val="0"/>
          <w:bCs w:val="0"/>
          <w:color w:val="auto"/>
          <w:sz w:val="30"/>
          <w:szCs w:val="30"/>
          <w:lang w:val="en-US" w:eastAsia="zh-CN"/>
        </w:rPr>
        <w:t>12</w:t>
      </w:r>
      <w:r>
        <w:rPr>
          <w:rFonts w:hint="eastAsia" w:ascii="仿宋" w:hAnsi="仿宋" w:eastAsia="仿宋" w:cs="Times New Roman"/>
          <w:b w:val="0"/>
          <w:bCs w:val="0"/>
          <w:color w:val="auto"/>
          <w:sz w:val="30"/>
          <w:szCs w:val="30"/>
          <w:lang w:eastAsia="zh-CN"/>
        </w:rPr>
        <w:t>个月，质保期内出现任何非</w:t>
      </w:r>
      <w:r>
        <w:rPr>
          <w:rFonts w:hint="eastAsia" w:ascii="仿宋" w:hAnsi="仿宋" w:eastAsia="仿宋" w:cs="Times New Roman"/>
          <w:b w:val="0"/>
          <w:bCs w:val="0"/>
          <w:color w:val="auto"/>
          <w:sz w:val="30"/>
          <w:szCs w:val="30"/>
          <w:lang w:val="en-US" w:eastAsia="zh-CN"/>
        </w:rPr>
        <w:t>业主</w:t>
      </w:r>
      <w:r>
        <w:rPr>
          <w:rFonts w:hint="eastAsia" w:ascii="仿宋" w:hAnsi="仿宋" w:eastAsia="仿宋" w:cs="Times New Roman"/>
          <w:b w:val="0"/>
          <w:bCs w:val="0"/>
          <w:color w:val="auto"/>
          <w:sz w:val="30"/>
          <w:szCs w:val="30"/>
          <w:lang w:eastAsia="zh-CN"/>
        </w:rPr>
        <w:t>方原因造成的质量问题，均由</w:t>
      </w:r>
      <w:r>
        <w:rPr>
          <w:rFonts w:hint="eastAsia" w:ascii="仿宋" w:hAnsi="仿宋" w:eastAsia="仿宋" w:cs="Times New Roman"/>
          <w:b w:val="0"/>
          <w:bCs w:val="0"/>
          <w:color w:val="auto"/>
          <w:sz w:val="30"/>
          <w:szCs w:val="30"/>
          <w:lang w:val="en-US" w:eastAsia="zh-CN"/>
        </w:rPr>
        <w:t>中标方</w:t>
      </w:r>
      <w:r>
        <w:rPr>
          <w:rFonts w:hint="eastAsia" w:ascii="仿宋" w:hAnsi="仿宋" w:eastAsia="仿宋" w:cs="Times New Roman"/>
          <w:b w:val="0"/>
          <w:bCs w:val="0"/>
          <w:color w:val="auto"/>
          <w:sz w:val="30"/>
          <w:szCs w:val="30"/>
          <w:lang w:eastAsia="zh-CN"/>
        </w:rPr>
        <w:t>免费修复或处理并达到双方签订的技术协议的标准。</w:t>
      </w:r>
    </w:p>
    <w:p w14:paraId="5B066BCE">
      <w:pPr>
        <w:keepNext w:val="0"/>
        <w:keepLines w:val="0"/>
        <w:pageBreakBefore w:val="0"/>
        <w:widowControl w:val="0"/>
        <w:kinsoku/>
        <w:wordWrap/>
        <w:overflowPunct/>
        <w:topLinePunct w:val="0"/>
        <w:autoSpaceDE/>
        <w:autoSpaceDN/>
        <w:bidi w:val="0"/>
        <w:adjustRightInd/>
        <w:snapToGrid/>
        <w:spacing w:line="500" w:lineRule="exact"/>
        <w:ind w:right="0" w:rightChars="0" w:firstLine="5100" w:firstLineChars="17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5D929A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                              报价人：（签字）：             </w:t>
      </w:r>
    </w:p>
    <w:p w14:paraId="7AD2FB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bCs/>
          <w:color w:val="auto"/>
          <w:sz w:val="30"/>
          <w:szCs w:val="30"/>
          <w:lang w:eastAsia="zh-CN"/>
        </w:rPr>
      </w:pPr>
      <w:r>
        <w:rPr>
          <w:rFonts w:hint="eastAsia" w:ascii="仿宋" w:hAnsi="仿宋" w:eastAsia="仿宋"/>
          <w:b w:val="0"/>
          <w:bCs w:val="0"/>
          <w:color w:val="auto"/>
          <w:sz w:val="30"/>
          <w:szCs w:val="30"/>
        </w:rPr>
        <w:t xml:space="preserve">                         报价时间：</w:t>
      </w:r>
      <w:r>
        <w:rPr>
          <w:rFonts w:hint="eastAsia" w:ascii="仿宋" w:hAnsi="仿宋" w:eastAsia="仿宋"/>
          <w:b w:val="0"/>
          <w:bCs w:val="0"/>
          <w:color w:val="auto"/>
          <w:sz w:val="30"/>
          <w:szCs w:val="30"/>
          <w:lang w:val="en-US" w:eastAsia="zh-CN"/>
        </w:rPr>
        <w:t>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月</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日</w:t>
      </w:r>
    </w:p>
    <w:p w14:paraId="178BFF67">
      <w:pPr>
        <w:spacing w:line="360" w:lineRule="auto"/>
      </w:pPr>
    </w:p>
    <w:p w14:paraId="3CBE1B8D">
      <w:pPr>
        <w:spacing w:line="360" w:lineRule="auto"/>
      </w:pPr>
    </w:p>
    <w:p w14:paraId="5CFB4C64">
      <w:pPr>
        <w:spacing w:line="500" w:lineRule="exact"/>
        <w:rPr>
          <w:rFonts w:ascii="仿宋_GB2312" w:hAnsi="宋体" w:eastAsia="仿宋"/>
          <w:sz w:val="30"/>
          <w:szCs w:val="30"/>
        </w:rPr>
      </w:pPr>
      <w:r>
        <w:rPr>
          <w:rFonts w:hint="eastAsia" w:ascii="仿宋" w:hAnsi="仿宋" w:eastAsia="仿宋"/>
          <w:sz w:val="28"/>
          <w:szCs w:val="24"/>
        </w:rPr>
        <w:t>附件</w:t>
      </w:r>
      <w:r>
        <w:rPr>
          <w:rFonts w:ascii="仿宋" w:hAnsi="仿宋" w:eastAsia="仿宋"/>
          <w:sz w:val="28"/>
          <w:szCs w:val="24"/>
        </w:rPr>
        <w:t>5</w:t>
      </w:r>
      <w:r>
        <w:rPr>
          <w:rFonts w:hint="eastAsia" w:ascii="仿宋" w:hAnsi="仿宋" w:eastAsia="仿宋"/>
          <w:sz w:val="28"/>
          <w:szCs w:val="24"/>
        </w:rPr>
        <w:t>、</w:t>
      </w:r>
      <w:r>
        <w:rPr>
          <w:rFonts w:hint="eastAsia" w:ascii="仿宋" w:hAnsi="仿宋" w:eastAsia="仿宋"/>
          <w:sz w:val="28"/>
          <w:szCs w:val="28"/>
        </w:rPr>
        <w:t>参考合同条款（具体以签订合同为准）</w:t>
      </w:r>
    </w:p>
    <w:p w14:paraId="2FAE899F">
      <w:pPr>
        <w:spacing w:line="276" w:lineRule="auto"/>
        <w:rPr>
          <w:rFonts w:ascii="仿宋" w:hAnsi="仿宋" w:eastAsia="仿宋"/>
          <w:bCs/>
          <w:sz w:val="36"/>
          <w:szCs w:val="36"/>
        </w:rPr>
      </w:pPr>
    </w:p>
    <w:p w14:paraId="0A96BC7D">
      <w:pPr>
        <w:spacing w:line="276" w:lineRule="auto"/>
        <w:rPr>
          <w:rFonts w:ascii="仿宋" w:hAnsi="仿宋" w:eastAsia="仿宋"/>
          <w:bCs/>
          <w:sz w:val="36"/>
          <w:szCs w:val="36"/>
        </w:rPr>
      </w:pPr>
    </w:p>
    <w:p w14:paraId="53C9CD9E">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r>
        <w:rPr>
          <w:rFonts w:hint="eastAsia" w:ascii="仿宋" w:hAnsi="仿宋" w:eastAsia="仿宋" w:cs="宋体"/>
          <w:b/>
          <w:bCs/>
          <w:sz w:val="44"/>
          <w:szCs w:val="44"/>
        </w:rPr>
        <w:t>有限公司</w:t>
      </w:r>
    </w:p>
    <w:p w14:paraId="7FE207CD">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p>
    <w:p w14:paraId="1D5248C6">
      <w:pPr>
        <w:spacing w:line="380" w:lineRule="atLeast"/>
        <w:jc w:val="center"/>
        <w:rPr>
          <w:rFonts w:ascii="仿宋_GB2312" w:hAnsi="仿宋" w:eastAsia="仿宋_GB2312"/>
          <w:b/>
          <w:bCs/>
          <w:sz w:val="44"/>
          <w:szCs w:val="44"/>
        </w:rPr>
      </w:pPr>
    </w:p>
    <w:p w14:paraId="78BE8CCC">
      <w:pPr>
        <w:spacing w:line="380" w:lineRule="atLeast"/>
        <w:jc w:val="center"/>
        <w:rPr>
          <w:rFonts w:ascii="仿宋_GB2312" w:hAnsi="仿宋" w:eastAsia="仿宋_GB2312"/>
          <w:b/>
          <w:bCs/>
          <w:sz w:val="44"/>
          <w:szCs w:val="44"/>
        </w:rPr>
      </w:pPr>
    </w:p>
    <w:p w14:paraId="412C6924">
      <w:pPr>
        <w:jc w:val="center"/>
        <w:rPr>
          <w:rFonts w:ascii="仿宋_GB2312" w:hAnsi="仿宋" w:eastAsia="仿宋_GB2312"/>
          <w:b/>
          <w:sz w:val="72"/>
          <w:szCs w:val="72"/>
        </w:rPr>
      </w:pPr>
    </w:p>
    <w:p w14:paraId="5FCA6DCE">
      <w:pPr>
        <w:jc w:val="center"/>
        <w:rPr>
          <w:rFonts w:ascii="仿宋_GB2312" w:hAnsi="仿宋" w:eastAsia="仿宋_GB2312"/>
          <w:b/>
          <w:color w:val="000000"/>
          <w:sz w:val="72"/>
          <w:szCs w:val="72"/>
        </w:rPr>
      </w:pPr>
      <w:r>
        <w:rPr>
          <w:rFonts w:hint="eastAsia" w:ascii="仿宋_GB2312" w:hAnsi="仿宋" w:eastAsia="仿宋_GB2312"/>
          <w:b/>
          <w:color w:val="000000"/>
          <w:sz w:val="72"/>
          <w:szCs w:val="72"/>
        </w:rPr>
        <w:t>商 务 合 同</w:t>
      </w:r>
    </w:p>
    <w:p w14:paraId="28955B35">
      <w:pPr>
        <w:spacing w:line="560" w:lineRule="exact"/>
        <w:ind w:firstLine="2720" w:firstLineChars="850"/>
        <w:rPr>
          <w:rFonts w:ascii="仿宋_GB2312" w:hAnsi="仿宋" w:eastAsia="仿宋_GB2312"/>
          <w:color w:val="000000"/>
          <w:sz w:val="32"/>
          <w:szCs w:val="32"/>
        </w:rPr>
      </w:pPr>
      <w:r>
        <w:rPr>
          <w:rFonts w:hint="eastAsia" w:ascii="仿宋_GB2312" w:hAnsi="仿宋" w:eastAsia="仿宋_GB2312"/>
          <w:color w:val="000000"/>
          <w:sz w:val="32"/>
          <w:szCs w:val="32"/>
        </w:rPr>
        <w:t>合同编号：WJ-CG(202</w:t>
      </w:r>
      <w:r>
        <w:rPr>
          <w:rFonts w:ascii="仿宋_GB2312" w:hAnsi="仿宋" w:eastAsia="仿宋_GB2312"/>
          <w:color w:val="000000"/>
          <w:sz w:val="32"/>
          <w:szCs w:val="32"/>
        </w:rPr>
        <w:t>4</w:t>
      </w:r>
      <w:r>
        <w:rPr>
          <w:rFonts w:hint="eastAsia" w:ascii="仿宋_GB2312" w:hAnsi="仿宋" w:eastAsia="仿宋_GB2312"/>
          <w:color w:val="000000"/>
          <w:sz w:val="32"/>
          <w:szCs w:val="32"/>
        </w:rPr>
        <w:t>)</w:t>
      </w:r>
      <w:r>
        <w:rPr>
          <w:rFonts w:ascii="仿宋_GB2312" w:hAnsi="仿宋" w:eastAsia="仿宋_GB2312"/>
          <w:color w:val="000000"/>
          <w:sz w:val="32"/>
          <w:szCs w:val="32"/>
        </w:rPr>
        <w:t>***</w:t>
      </w:r>
    </w:p>
    <w:p w14:paraId="3F95AC53">
      <w:pPr>
        <w:pStyle w:val="6"/>
      </w:pPr>
    </w:p>
    <w:p w14:paraId="1FA2B32C"/>
    <w:p w14:paraId="04D8D2FB">
      <w:pPr>
        <w:spacing w:line="360" w:lineRule="auto"/>
        <w:rPr>
          <w:rFonts w:ascii="仿宋_GB2312" w:hAnsi="仿宋" w:eastAsia="仿宋_GB2312" w:cs="宋体"/>
          <w:color w:val="000000"/>
          <w:sz w:val="32"/>
          <w:szCs w:val="32"/>
        </w:rPr>
      </w:pPr>
    </w:p>
    <w:p w14:paraId="0D2288AE">
      <w:pPr>
        <w:spacing w:line="560" w:lineRule="exact"/>
        <w:ind w:firstLine="640" w:firstLineChars="200"/>
        <w:rPr>
          <w:rFonts w:ascii="仿宋_GB2312" w:hAnsi="仿宋" w:eastAsia="仿宋_GB2312" w:cs="宋体"/>
          <w:color w:val="000000"/>
          <w:sz w:val="32"/>
          <w:szCs w:val="32"/>
        </w:rPr>
      </w:pPr>
    </w:p>
    <w:p w14:paraId="00E2361C">
      <w:pPr>
        <w:spacing w:line="560" w:lineRule="exact"/>
        <w:ind w:firstLine="640" w:firstLineChars="200"/>
        <w:rPr>
          <w:rFonts w:ascii="仿宋_GB2312" w:hAnsi="仿宋" w:eastAsia="仿宋_GB2312" w:cs="宋体"/>
          <w:color w:val="000000"/>
          <w:sz w:val="32"/>
          <w:szCs w:val="32"/>
        </w:rPr>
      </w:pPr>
    </w:p>
    <w:p w14:paraId="01427ACF">
      <w:pPr>
        <w:spacing w:line="560" w:lineRule="exact"/>
        <w:ind w:firstLine="640" w:firstLineChars="200"/>
        <w:rPr>
          <w:rFonts w:ascii="仿宋_GB2312" w:hAnsi="仿宋" w:eastAsia="仿宋_GB2312" w:cs="宋体"/>
          <w:color w:val="000000"/>
          <w:sz w:val="32"/>
          <w:szCs w:val="32"/>
        </w:rPr>
      </w:pPr>
    </w:p>
    <w:p w14:paraId="6E6E183C">
      <w:pPr>
        <w:spacing w:line="560" w:lineRule="exact"/>
        <w:ind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甲方：*</w:t>
      </w:r>
      <w:r>
        <w:rPr>
          <w:rFonts w:ascii="仿宋_GB2312" w:hAnsi="仿宋" w:eastAsia="仿宋_GB2312" w:cs="宋体"/>
          <w:color w:val="000000"/>
          <w:sz w:val="32"/>
          <w:szCs w:val="32"/>
        </w:rPr>
        <w:t>*******************</w:t>
      </w:r>
    </w:p>
    <w:p w14:paraId="10A4B49D">
      <w:pPr>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乙方：*</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公司</w:t>
      </w:r>
    </w:p>
    <w:p w14:paraId="19B1AB1A">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签订时间：2025年</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月</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日</w:t>
      </w:r>
    </w:p>
    <w:p w14:paraId="4FFDC389">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签订地点：新安县产业集聚区</w:t>
      </w:r>
    </w:p>
    <w:p w14:paraId="7D130A48">
      <w:pPr>
        <w:tabs>
          <w:tab w:val="left" w:pos="8280"/>
        </w:tabs>
        <w:spacing w:line="500" w:lineRule="exact"/>
        <w:rPr>
          <w:rFonts w:ascii="仿宋_GB2312" w:hAnsi="仿宋" w:eastAsia="仿宋_GB2312"/>
          <w:bCs/>
          <w:color w:val="000000"/>
          <w:sz w:val="28"/>
          <w:szCs w:val="28"/>
        </w:rPr>
      </w:pPr>
    </w:p>
    <w:p w14:paraId="5543365C">
      <w:pPr>
        <w:tabs>
          <w:tab w:val="left" w:pos="8280"/>
        </w:tabs>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就甲方*</w:t>
      </w:r>
      <w:r>
        <w:rPr>
          <w:rFonts w:ascii="仿宋_GB2312" w:hAnsi="仿宋" w:eastAsia="仿宋_GB2312"/>
          <w:bCs/>
          <w:color w:val="000000"/>
          <w:sz w:val="28"/>
          <w:szCs w:val="28"/>
        </w:rPr>
        <w:t>********</w:t>
      </w:r>
      <w:r>
        <w:rPr>
          <w:rFonts w:hint="eastAsia" w:ascii="仿宋_GB2312" w:hAnsi="仿宋" w:eastAsia="仿宋_GB2312"/>
          <w:bCs/>
          <w:color w:val="000000"/>
          <w:sz w:val="28"/>
          <w:szCs w:val="28"/>
        </w:rPr>
        <w:t>事宜，甲乙双方本着平等互利的原则，经友好协商，同意按如下条款签订本合同。</w:t>
      </w:r>
    </w:p>
    <w:p w14:paraId="0E894E3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448AC2A3">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1、“合同”指甲方和乙方（以下简称合同双方）已达成的协议，即由双方签订的合同中的文件，包括技术协议、所有的附件、附录和组成合同部分的所有其它文件。</w:t>
      </w:r>
    </w:p>
    <w:p w14:paraId="1A59D091">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2、“合同价格”指合同规定，在乙方全面正确的履行合同义务时甲方应支付给乙方的款项。</w:t>
      </w:r>
    </w:p>
    <w:p w14:paraId="02A30CFE">
      <w:pPr>
        <w:snapToGrid w:val="0"/>
        <w:spacing w:line="460" w:lineRule="exact"/>
        <w:ind w:firstLine="700" w:firstLineChars="250"/>
        <w:rPr>
          <w:rFonts w:ascii="仿宋_GB2312" w:hAnsi="仿宋" w:eastAsia="仿宋_GB2312"/>
          <w:bCs/>
          <w:sz w:val="28"/>
          <w:szCs w:val="28"/>
        </w:rPr>
      </w:pPr>
      <w:r>
        <w:rPr>
          <w:rFonts w:hint="eastAsia" w:ascii="仿宋_GB2312" w:hAnsi="仿宋" w:eastAsia="仿宋_GB2312"/>
          <w:bCs/>
          <w:sz w:val="28"/>
          <w:szCs w:val="28"/>
        </w:rPr>
        <w:t>3、“**”指乙方按合同要求，须向甲方提供的**服务。</w:t>
      </w:r>
    </w:p>
    <w:p w14:paraId="4436163C">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4、“服务”指合同规定乙方须承担的**、技术协助、培训以及其它类似的售后服务义务。</w:t>
      </w:r>
    </w:p>
    <w:p w14:paraId="69FFCAD9">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5、“现场”指将要进行维修保养的设备所在地点，即：**公司现场。</w:t>
      </w:r>
    </w:p>
    <w:p w14:paraId="1515C98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6、“验收”指甲方依据合同所附技术协议书的规定接受维护保养所依据的程序和条件。</w:t>
      </w:r>
    </w:p>
    <w:p w14:paraId="7FE088E4">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2    大修范围</w:t>
      </w:r>
    </w:p>
    <w:p w14:paraId="63F09F0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1、项目名称：*</w:t>
      </w:r>
      <w:r>
        <w:rPr>
          <w:rFonts w:ascii="仿宋_GB2312" w:hAnsi="仿宋" w:eastAsia="仿宋_GB2312"/>
          <w:bCs/>
          <w:color w:val="000000"/>
          <w:sz w:val="28"/>
          <w:szCs w:val="28"/>
        </w:rPr>
        <w:t>****************</w:t>
      </w:r>
    </w:p>
    <w:p w14:paraId="211156F7">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1.1施工范围：详见技术协议书</w:t>
      </w:r>
    </w:p>
    <w:p w14:paraId="3141F488">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合同施工范围虽然在合同中有表述，但在执行过程中如发现有任何漏项和缺陷，在合同中并未列入而且确实是大修范围内应该有的并且是为了满足合同技术协议对合同设备的性能保证要求所必须的，是国家强制性要求必须的，均应由乙方负责将所缺的项目补上，所发生的费用由乙方负担。</w:t>
      </w:r>
    </w:p>
    <w:p w14:paraId="4FB77B78">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4D089BCF">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1、大修项目及价格：                        单位：元</w:t>
      </w:r>
    </w:p>
    <w:tbl>
      <w:tblPr>
        <w:tblStyle w:val="60"/>
        <w:tblW w:w="0" w:type="auto"/>
        <w:tblInd w:w="289" w:type="dxa"/>
        <w:tblLayout w:type="fixed"/>
        <w:tblCellMar>
          <w:top w:w="0" w:type="dxa"/>
          <w:left w:w="0" w:type="dxa"/>
          <w:bottom w:w="0" w:type="dxa"/>
          <w:right w:w="0" w:type="dxa"/>
        </w:tblCellMar>
      </w:tblPr>
      <w:tblGrid>
        <w:gridCol w:w="709"/>
        <w:gridCol w:w="2693"/>
        <w:gridCol w:w="1559"/>
        <w:gridCol w:w="709"/>
        <w:gridCol w:w="850"/>
        <w:gridCol w:w="1296"/>
        <w:gridCol w:w="1398"/>
      </w:tblGrid>
      <w:tr w14:paraId="3CF2C728">
        <w:tblPrEx>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vAlign w:val="center"/>
          </w:tcPr>
          <w:p w14:paraId="5E4E3FA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序号</w:t>
            </w:r>
          </w:p>
        </w:tc>
        <w:tc>
          <w:tcPr>
            <w:tcW w:w="2693" w:type="dxa"/>
            <w:tcBorders>
              <w:top w:val="single" w:color="auto" w:sz="4" w:space="0"/>
              <w:left w:val="nil"/>
              <w:bottom w:val="single" w:color="auto" w:sz="4" w:space="0"/>
              <w:right w:val="single" w:color="auto" w:sz="4" w:space="0"/>
            </w:tcBorders>
            <w:vAlign w:val="center"/>
          </w:tcPr>
          <w:p w14:paraId="7AEC88E9">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名称</w:t>
            </w:r>
          </w:p>
        </w:tc>
        <w:tc>
          <w:tcPr>
            <w:tcW w:w="1559" w:type="dxa"/>
            <w:tcBorders>
              <w:top w:val="single" w:color="auto" w:sz="4" w:space="0"/>
              <w:left w:val="nil"/>
              <w:bottom w:val="single" w:color="auto" w:sz="4" w:space="0"/>
              <w:right w:val="single" w:color="auto" w:sz="4" w:space="0"/>
            </w:tcBorders>
            <w:vAlign w:val="center"/>
          </w:tcPr>
          <w:p w14:paraId="5F4D4908">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型号</w:t>
            </w:r>
          </w:p>
        </w:tc>
        <w:tc>
          <w:tcPr>
            <w:tcW w:w="709" w:type="dxa"/>
            <w:tcBorders>
              <w:top w:val="single" w:color="auto" w:sz="4" w:space="0"/>
              <w:left w:val="nil"/>
              <w:bottom w:val="single" w:color="auto" w:sz="4" w:space="0"/>
              <w:right w:val="single" w:color="auto" w:sz="4" w:space="0"/>
            </w:tcBorders>
            <w:vAlign w:val="center"/>
          </w:tcPr>
          <w:p w14:paraId="32F79172">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w:t>
            </w:r>
          </w:p>
        </w:tc>
        <w:tc>
          <w:tcPr>
            <w:tcW w:w="850" w:type="dxa"/>
            <w:tcBorders>
              <w:top w:val="single" w:color="auto" w:sz="4" w:space="0"/>
              <w:left w:val="nil"/>
              <w:bottom w:val="single" w:color="auto" w:sz="4" w:space="0"/>
              <w:right w:val="single" w:color="auto" w:sz="4" w:space="0"/>
            </w:tcBorders>
            <w:vAlign w:val="center"/>
          </w:tcPr>
          <w:p w14:paraId="5E939E93">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数量</w:t>
            </w:r>
          </w:p>
        </w:tc>
        <w:tc>
          <w:tcPr>
            <w:tcW w:w="1296" w:type="dxa"/>
            <w:tcBorders>
              <w:top w:val="single" w:color="auto" w:sz="4" w:space="0"/>
              <w:left w:val="nil"/>
              <w:bottom w:val="single" w:color="auto" w:sz="4" w:space="0"/>
              <w:right w:val="single" w:color="auto" w:sz="4" w:space="0"/>
            </w:tcBorders>
            <w:vAlign w:val="center"/>
          </w:tcPr>
          <w:p w14:paraId="6037574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单价(元)</w:t>
            </w:r>
          </w:p>
        </w:tc>
        <w:tc>
          <w:tcPr>
            <w:tcW w:w="1398" w:type="dxa"/>
            <w:tcBorders>
              <w:top w:val="single" w:color="auto" w:sz="4" w:space="0"/>
              <w:left w:val="single" w:color="auto" w:sz="4" w:space="0"/>
              <w:bottom w:val="single" w:color="auto" w:sz="4" w:space="0"/>
              <w:right w:val="single" w:color="auto" w:sz="4" w:space="0"/>
            </w:tcBorders>
            <w:vAlign w:val="center"/>
          </w:tcPr>
          <w:p w14:paraId="461C0B8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总价(元)</w:t>
            </w:r>
          </w:p>
        </w:tc>
      </w:tr>
      <w:tr w14:paraId="2FABC495">
        <w:tblPrEx>
          <w:tblCellMar>
            <w:top w:w="0" w:type="dxa"/>
            <w:left w:w="0" w:type="dxa"/>
            <w:bottom w:w="0" w:type="dxa"/>
            <w:right w:w="0" w:type="dxa"/>
          </w:tblCellMar>
        </w:tblPrEx>
        <w:trPr>
          <w:trHeight w:val="485" w:hRule="atLeast"/>
        </w:trPr>
        <w:tc>
          <w:tcPr>
            <w:tcW w:w="709" w:type="dxa"/>
            <w:tcBorders>
              <w:top w:val="single" w:color="auto" w:sz="4" w:space="0"/>
              <w:left w:val="single" w:color="auto" w:sz="4" w:space="0"/>
              <w:bottom w:val="single" w:color="auto" w:sz="4" w:space="0"/>
              <w:right w:val="single" w:color="auto" w:sz="4" w:space="0"/>
            </w:tcBorders>
            <w:vAlign w:val="center"/>
          </w:tcPr>
          <w:p w14:paraId="48CF1B34">
            <w:pPr>
              <w:snapToGrid w:val="0"/>
              <w:spacing w:line="360" w:lineRule="auto"/>
              <w:ind w:firstLine="280" w:firstLineChars="100"/>
              <w:rPr>
                <w:rFonts w:ascii="仿宋_GB2312" w:hAnsi="仿宋" w:eastAsia="仿宋_GB2312"/>
                <w:bCs/>
                <w:color w:val="000000"/>
                <w:sz w:val="28"/>
                <w:szCs w:val="28"/>
              </w:rPr>
            </w:pPr>
            <w:r>
              <w:rPr>
                <w:rFonts w:hint="eastAsia" w:ascii="仿宋_GB2312" w:hAnsi="仿宋" w:eastAsia="仿宋_GB2312"/>
                <w:bCs/>
                <w:color w:val="000000"/>
                <w:sz w:val="28"/>
                <w:szCs w:val="28"/>
              </w:rPr>
              <w:t>1</w:t>
            </w:r>
          </w:p>
        </w:tc>
        <w:tc>
          <w:tcPr>
            <w:tcW w:w="2693" w:type="dxa"/>
            <w:tcBorders>
              <w:top w:val="single" w:color="auto" w:sz="4" w:space="0"/>
              <w:left w:val="nil"/>
              <w:bottom w:val="single" w:color="auto" w:sz="4" w:space="0"/>
              <w:right w:val="single" w:color="auto" w:sz="4" w:space="0"/>
            </w:tcBorders>
            <w:vAlign w:val="center"/>
          </w:tcPr>
          <w:p w14:paraId="4C537348">
            <w:pPr>
              <w:spacing w:line="360" w:lineRule="exact"/>
              <w:ind w:left="6720" w:hanging="6720" w:hangingChars="2400"/>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559" w:type="dxa"/>
            <w:tcBorders>
              <w:top w:val="single" w:color="auto" w:sz="4" w:space="0"/>
              <w:left w:val="nil"/>
              <w:bottom w:val="single" w:color="auto" w:sz="4" w:space="0"/>
              <w:right w:val="single" w:color="auto" w:sz="4" w:space="0"/>
            </w:tcBorders>
            <w:vAlign w:val="center"/>
          </w:tcPr>
          <w:p w14:paraId="387A5F62">
            <w:pPr>
              <w:jc w:val="center"/>
              <w:rPr>
                <w:rFonts w:ascii="仿宋_GB2312" w:hAnsi="仿宋" w:eastAsia="仿宋_GB2312" w:cs="宋体"/>
                <w:color w:val="000000"/>
                <w:sz w:val="28"/>
                <w:szCs w:val="28"/>
              </w:rPr>
            </w:pPr>
            <w:r>
              <w:rPr>
                <w:rFonts w:hint="eastAsia" w:ascii="仿宋_GB2312" w:hAnsi="仿宋" w:eastAsia="仿宋_GB2312" w:cs="宋体"/>
                <w:color w:val="000000"/>
                <w:sz w:val="24"/>
                <w:szCs w:val="24"/>
              </w:rPr>
              <w:t>详见技术协议</w:t>
            </w:r>
          </w:p>
        </w:tc>
        <w:tc>
          <w:tcPr>
            <w:tcW w:w="709" w:type="dxa"/>
            <w:tcBorders>
              <w:top w:val="single" w:color="auto" w:sz="4" w:space="0"/>
              <w:left w:val="nil"/>
              <w:bottom w:val="single" w:color="auto" w:sz="4" w:space="0"/>
              <w:right w:val="single" w:color="auto" w:sz="4" w:space="0"/>
            </w:tcBorders>
            <w:vAlign w:val="center"/>
          </w:tcPr>
          <w:p w14:paraId="49A9FE5B">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台</w:t>
            </w:r>
          </w:p>
        </w:tc>
        <w:tc>
          <w:tcPr>
            <w:tcW w:w="850" w:type="dxa"/>
            <w:tcBorders>
              <w:top w:val="single" w:color="auto" w:sz="4" w:space="0"/>
              <w:left w:val="nil"/>
              <w:bottom w:val="single" w:color="auto" w:sz="4" w:space="0"/>
              <w:right w:val="single" w:color="auto" w:sz="4" w:space="0"/>
            </w:tcBorders>
            <w:vAlign w:val="center"/>
          </w:tcPr>
          <w:p w14:paraId="198FB50A">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296" w:type="dxa"/>
            <w:tcBorders>
              <w:top w:val="single" w:color="auto" w:sz="4" w:space="0"/>
              <w:left w:val="nil"/>
              <w:bottom w:val="single" w:color="auto" w:sz="4" w:space="0"/>
              <w:right w:val="single" w:color="auto" w:sz="4" w:space="0"/>
            </w:tcBorders>
            <w:vAlign w:val="center"/>
          </w:tcPr>
          <w:p w14:paraId="3920FB27">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c>
          <w:tcPr>
            <w:tcW w:w="1398" w:type="dxa"/>
            <w:tcBorders>
              <w:top w:val="single" w:color="auto" w:sz="4" w:space="0"/>
              <w:left w:val="single" w:color="auto" w:sz="4" w:space="0"/>
              <w:bottom w:val="single" w:color="auto" w:sz="4" w:space="0"/>
              <w:right w:val="single" w:color="auto" w:sz="4" w:space="0"/>
            </w:tcBorders>
            <w:vAlign w:val="center"/>
          </w:tcPr>
          <w:p w14:paraId="414FDBB0">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r>
      <w:tr w14:paraId="2701F23F">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6BA15334">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不含税单价：</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          税率：</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税额：</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w:t>
            </w:r>
          </w:p>
        </w:tc>
      </w:tr>
      <w:tr w14:paraId="5A8F0D5E">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10B71436">
            <w:pPr>
              <w:spacing w:line="360" w:lineRule="exact"/>
              <w:ind w:left="6720" w:hanging="6720" w:hangingChars="2400"/>
              <w:jc w:val="left"/>
              <w:rPr>
                <w:rFonts w:ascii="仿宋_GB2312" w:hAnsi="仿宋" w:eastAsia="仿宋_GB2312" w:cs="宋体"/>
                <w:color w:val="000000"/>
                <w:sz w:val="28"/>
                <w:szCs w:val="28"/>
              </w:rPr>
            </w:pPr>
            <w:r>
              <w:rPr>
                <w:rFonts w:hint="eastAsia" w:ascii="仿宋_GB2312" w:hAnsi="仿宋" w:eastAsia="仿宋_GB2312" w:cs="宋体"/>
                <w:color w:val="000000"/>
                <w:sz w:val="28"/>
                <w:szCs w:val="28"/>
              </w:rPr>
              <w:t>合计（人民币）大写：*</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元整                   ￥：</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.00元</w:t>
            </w:r>
          </w:p>
        </w:tc>
      </w:tr>
    </w:tbl>
    <w:p w14:paraId="3D00C05E">
      <w:pPr>
        <w:snapToGrid w:val="0"/>
        <w:spacing w:line="460" w:lineRule="exact"/>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2、本合同价格包括合同**费、协议包含的备件、专用工具、设计费、技术资料费、技术服务费、拆除费、安装费、调试费、培训费、质保期内的维护保养费、税费及与本合同有关的所有费用。</w:t>
      </w:r>
    </w:p>
    <w:p w14:paraId="60E09B3B">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3、上述合同价格为乙方一年期的大修费，不因任何因素的改变而改变，期限为202</w:t>
      </w:r>
      <w:r>
        <w:rPr>
          <w:rFonts w:ascii="仿宋_GB2312" w:hAnsi="仿宋" w:eastAsia="仿宋_GB2312"/>
          <w:bCs/>
          <w:color w:val="000000"/>
          <w:sz w:val="28"/>
          <w:szCs w:val="28"/>
        </w:rPr>
        <w:t>4</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日-2024年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w:t>
      </w:r>
    </w:p>
    <w:p w14:paraId="23B01268">
      <w:pPr>
        <w:tabs>
          <w:tab w:val="left" w:pos="540"/>
        </w:tabs>
        <w:snapToGrid w:val="0"/>
        <w:spacing w:line="460" w:lineRule="exact"/>
        <w:ind w:firstLine="2797" w:firstLineChars="995"/>
        <w:rPr>
          <w:rFonts w:ascii="仿宋_GB2312" w:hAnsi="宋体" w:eastAsia="仿宋_GB2312" w:cs="宋体"/>
          <w:color w:val="000000"/>
          <w:sz w:val="28"/>
          <w:szCs w:val="28"/>
        </w:rPr>
      </w:pPr>
      <w:r>
        <w:rPr>
          <w:rFonts w:hint="eastAsia" w:ascii="仿宋_GB2312" w:hAnsi="宋体" w:eastAsia="仿宋_GB2312"/>
          <w:b/>
          <w:color w:val="000000"/>
          <w:sz w:val="28"/>
          <w:szCs w:val="28"/>
        </w:rPr>
        <w:t xml:space="preserve">条  款 4     支  付    </w:t>
      </w:r>
    </w:p>
    <w:p w14:paraId="34BEEFCE">
      <w:pPr>
        <w:spacing w:line="460" w:lineRule="exact"/>
        <w:ind w:firstLine="420" w:firstLineChars="150"/>
        <w:rPr>
          <w:rFonts w:ascii="仿宋_GB2312" w:hAnsi="宋体" w:eastAsia="仿宋_GB2312" w:cs="宋体"/>
          <w:color w:val="FF0000"/>
          <w:sz w:val="28"/>
          <w:szCs w:val="28"/>
        </w:rPr>
      </w:pPr>
      <w:r>
        <w:rPr>
          <w:rFonts w:hint="eastAsia" w:ascii="仿宋_GB2312" w:hAnsi="宋体" w:eastAsia="仿宋_GB2312" w:cs="宋体"/>
          <w:color w:val="000000"/>
          <w:sz w:val="28"/>
          <w:szCs w:val="28"/>
        </w:rPr>
        <w:t>一、 合同总价的90%（即：</w:t>
      </w:r>
      <w:r>
        <w:rPr>
          <w:rFonts w:hint="eastAsia" w:ascii="仿宋_GB2312" w:hAnsi="宋体" w:eastAsia="仿宋_GB2312" w:cs="宋体"/>
          <w:color w:val="000000"/>
          <w:sz w:val="28"/>
          <w:szCs w:val="28"/>
          <w:u w:val="single"/>
        </w:rPr>
        <w:t xml:space="preserve">￥： </w:t>
      </w:r>
      <w:r>
        <w:rPr>
          <w:rFonts w:ascii="仿宋_GB2312" w:hAnsi="宋体" w:eastAsia="仿宋_GB2312" w:cs="宋体"/>
          <w:color w:val="000000"/>
          <w:sz w:val="28"/>
          <w:szCs w:val="28"/>
          <w:u w:val="single"/>
        </w:rPr>
        <w:t>****</w:t>
      </w:r>
      <w:r>
        <w:rPr>
          <w:rFonts w:hint="eastAsia" w:ascii="仿宋_GB2312" w:hAnsi="宋体" w:eastAsia="仿宋_GB2312" w:cs="宋体"/>
          <w:color w:val="000000"/>
          <w:sz w:val="28"/>
          <w:szCs w:val="28"/>
          <w:u w:val="single"/>
        </w:rPr>
        <w:t xml:space="preserve">.00元  </w:t>
      </w:r>
      <w:r>
        <w:rPr>
          <w:rFonts w:hint="eastAsia" w:ascii="仿宋_GB2312" w:hAnsi="宋体" w:eastAsia="仿宋_GB2312" w:cs="宋体"/>
          <w:color w:val="000000"/>
          <w:sz w:val="28"/>
          <w:szCs w:val="28"/>
        </w:rPr>
        <w:t>）在达到下列全部条件完整无误后，自甲方将发票验收入账后30天内</w:t>
      </w:r>
      <w:r>
        <w:rPr>
          <w:rFonts w:hint="eastAsia" w:ascii="仿宋_GB2312" w:hAnsi="宋体" w:eastAsia="仿宋_GB2312" w:cs="宋体"/>
          <w:sz w:val="28"/>
          <w:szCs w:val="28"/>
        </w:rPr>
        <w:t>支付：</w:t>
      </w:r>
    </w:p>
    <w:p w14:paraId="1C028B61">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202</w:t>
      </w:r>
      <w:r>
        <w:rPr>
          <w:rFonts w:ascii="仿宋_GB2312" w:hAnsi="宋体" w:eastAsia="仿宋_GB2312" w:cs="宋体"/>
          <w:sz w:val="28"/>
          <w:szCs w:val="28"/>
        </w:rPr>
        <w:t>4</w:t>
      </w:r>
      <w:r>
        <w:rPr>
          <w:rFonts w:hint="eastAsia" w:ascii="仿宋_GB2312" w:hAnsi="宋体" w:eastAsia="仿宋_GB2312" w:cs="宋体"/>
          <w:sz w:val="28"/>
          <w:szCs w:val="28"/>
        </w:rPr>
        <w:t>年</w:t>
      </w:r>
      <w:r>
        <w:rPr>
          <w:rFonts w:ascii="仿宋_GB2312" w:hAnsi="宋体" w:eastAsia="仿宋_GB2312" w:cs="宋体"/>
          <w:sz w:val="28"/>
          <w:szCs w:val="28"/>
        </w:rPr>
        <w:t>*</w:t>
      </w:r>
      <w:r>
        <w:rPr>
          <w:rFonts w:hint="eastAsia" w:ascii="仿宋_GB2312" w:hAnsi="宋体" w:eastAsia="仿宋_GB2312" w:cs="宋体"/>
          <w:sz w:val="28"/>
          <w:szCs w:val="28"/>
        </w:rPr>
        <w:t>月</w:t>
      </w:r>
      <w:r>
        <w:rPr>
          <w:rFonts w:ascii="仿宋_GB2312" w:hAnsi="宋体" w:eastAsia="仿宋_GB2312" w:cs="宋体"/>
          <w:sz w:val="28"/>
          <w:szCs w:val="28"/>
        </w:rPr>
        <w:t>***</w:t>
      </w:r>
      <w:r>
        <w:rPr>
          <w:rFonts w:hint="eastAsia" w:ascii="仿宋_GB2312" w:hAnsi="宋体" w:eastAsia="仿宋_GB2312" w:cs="宋体"/>
          <w:sz w:val="28"/>
          <w:szCs w:val="28"/>
        </w:rPr>
        <w:t>日后***达到技术协议要求的标准，由甲方出具的设备验收合格报告。</w:t>
      </w:r>
    </w:p>
    <w:p w14:paraId="28A9BE0A">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 乙方向甲方开具合同总额的增值税发票（税率为</w:t>
      </w:r>
      <w:r>
        <w:rPr>
          <w:rFonts w:ascii="仿宋_GB2312" w:hAnsi="宋体" w:eastAsia="仿宋_GB2312" w:cs="宋体"/>
          <w:sz w:val="28"/>
          <w:szCs w:val="28"/>
        </w:rPr>
        <w:t>**</w:t>
      </w:r>
      <w:r>
        <w:rPr>
          <w:rFonts w:hint="eastAsia" w:ascii="仿宋_GB2312" w:hAnsi="宋体" w:eastAsia="仿宋_GB2312" w:cs="宋体"/>
          <w:sz w:val="28"/>
          <w:szCs w:val="28"/>
        </w:rPr>
        <w:t>%，若出现税务部门不认可的发票，一切责任由乙方承担）和合同总价90%的财务收据（即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元 </w:t>
      </w:r>
      <w:r>
        <w:rPr>
          <w:rFonts w:hint="eastAsia" w:ascii="仿宋_GB2312" w:hAnsi="宋体" w:eastAsia="仿宋_GB2312" w:cs="宋体"/>
          <w:sz w:val="28"/>
          <w:szCs w:val="28"/>
        </w:rPr>
        <w:t>）。</w:t>
      </w:r>
    </w:p>
    <w:p w14:paraId="12EC4925">
      <w:pPr>
        <w:spacing w:line="460" w:lineRule="exact"/>
        <w:ind w:firstLine="420" w:firstLineChars="150"/>
        <w:rPr>
          <w:rFonts w:ascii="仿宋_GB2312" w:hAnsi="宋体" w:eastAsia="仿宋_GB2312" w:cs="宋体"/>
          <w:sz w:val="28"/>
          <w:szCs w:val="28"/>
        </w:rPr>
      </w:pPr>
      <w:r>
        <w:rPr>
          <w:rFonts w:hint="eastAsia" w:ascii="仿宋_GB2312" w:hAnsi="宋体" w:eastAsia="仿宋_GB2312" w:cs="宋体"/>
          <w:sz w:val="28"/>
          <w:szCs w:val="28"/>
        </w:rPr>
        <w:t>二、 合同总价的10%（即：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）在达到下列全部条件完整无误后，自甲方收到发票后30天内支付：</w:t>
      </w:r>
    </w:p>
    <w:p w14:paraId="0DBEDD2C">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首保结束后出具验收合格报告之日起12个月质保期结束，达到技术协议要求的标准无质量异议，由甲方出具大修质量合格报告。</w:t>
      </w:r>
    </w:p>
    <w:p w14:paraId="6E379475">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sz w:val="28"/>
          <w:szCs w:val="28"/>
        </w:rPr>
        <w:t>2． 乙方向甲方开具合同总价10%的财务收据（即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）甲方支付余款</w:t>
      </w:r>
      <w:r>
        <w:rPr>
          <w:rFonts w:hint="eastAsia" w:ascii="仿宋_GB2312" w:hAnsi="宋体" w:eastAsia="仿宋_GB2312" w:cs="宋体"/>
          <w:color w:val="000000"/>
          <w:sz w:val="28"/>
          <w:szCs w:val="28"/>
        </w:rPr>
        <w:t>。</w:t>
      </w:r>
    </w:p>
    <w:p w14:paraId="65474489">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3</w:t>
      </w:r>
      <w:r>
        <w:rPr>
          <w:rFonts w:hint="eastAsia" w:ascii="仿宋_GB2312" w:hAnsi="宋体" w:eastAsia="仿宋_GB2312" w:cs="宋体"/>
          <w:sz w:val="28"/>
          <w:szCs w:val="28"/>
        </w:rPr>
        <w:t>．质保期内后续大修不再办理质保手续。</w:t>
      </w:r>
    </w:p>
    <w:p w14:paraId="7A1D3BAB">
      <w:pPr>
        <w:snapToGrid w:val="0"/>
        <w:spacing w:line="100" w:lineRule="exact"/>
        <w:rPr>
          <w:rFonts w:ascii="仿宋_GB2312" w:hAnsi="仿宋" w:eastAsia="仿宋_GB2312"/>
          <w:bCs/>
          <w:color w:val="000000"/>
          <w:sz w:val="28"/>
          <w:szCs w:val="28"/>
        </w:rPr>
      </w:pPr>
    </w:p>
    <w:p w14:paraId="4E8711A5">
      <w:pPr>
        <w:snapToGrid w:val="0"/>
        <w:spacing w:line="460" w:lineRule="exact"/>
        <w:jc w:val="center"/>
        <w:rPr>
          <w:rFonts w:ascii="仿宋_GB2312" w:hAnsi="仿宋" w:eastAsia="仿宋_GB2312"/>
          <w:bCs/>
          <w:color w:val="000000"/>
          <w:sz w:val="28"/>
          <w:szCs w:val="28"/>
        </w:rPr>
      </w:pPr>
      <w:r>
        <w:rPr>
          <w:rFonts w:hint="eastAsia" w:ascii="仿宋_GB2312" w:hAnsi="宋体" w:eastAsia="仿宋_GB2312"/>
          <w:b/>
          <w:color w:val="000000"/>
          <w:sz w:val="28"/>
          <w:szCs w:val="28"/>
        </w:rPr>
        <w:t>条  款 5    大修与调试</w:t>
      </w:r>
    </w:p>
    <w:p w14:paraId="2EBCD0F7">
      <w:pPr>
        <w:snapToGrid w:val="0"/>
        <w:spacing w:line="46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1、乙方应指派力量充足技术熟练的技术人员到甲方现场负责对本合同的项目进行维修保养，并负责调试和对甲方人员进行操作及维修的技术培训。</w:t>
      </w:r>
    </w:p>
    <w:p w14:paraId="1CA96E65">
      <w:pPr>
        <w:snapToGrid w:val="0"/>
        <w:spacing w:line="460" w:lineRule="exact"/>
        <w:ind w:firstLine="688" w:firstLineChars="246"/>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w:t>
      </w:r>
      <w:r>
        <w:rPr>
          <w:rFonts w:hint="eastAsia" w:ascii="仿宋_GB2312" w:hAnsi="仿宋" w:eastAsia="仿宋_GB2312"/>
          <w:bCs/>
          <w:color w:val="000000"/>
          <w:spacing w:val="-20"/>
          <w:sz w:val="28"/>
          <w:szCs w:val="28"/>
        </w:rPr>
        <w:t>在大修过程中甲方应积极配合并提供一切有利于工程进度的方便。</w:t>
      </w:r>
    </w:p>
    <w:p w14:paraId="2AFCEA4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6   技术要求</w:t>
      </w:r>
    </w:p>
    <w:p w14:paraId="43B4EB4E">
      <w:pPr>
        <w:snapToGrid w:val="0"/>
        <w:spacing w:line="46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按照合同所附技术协议书执行（附后）。</w:t>
      </w:r>
    </w:p>
    <w:p w14:paraId="0EB3E1AF">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7   质量保证</w:t>
      </w:r>
    </w:p>
    <w:p w14:paraId="25E5C1F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乙方应保证其提供的大修及检测采用的是技术协议中规定的最佳材料和第一流的工艺，并在各个方面符合技术协议的质量、规格和性能要求。乙方应保证设备经过正确维护保养，在质量保证期内运转良好。在规定的质量保证期内，乙方应对由于大修服务设计、工艺技术和技术协议包含备件的缺陷而造成的任何缺陷或故障负责。出现上述情况，乙方应在收到甲方通知后3天内，免费负责修理或更换有缺陷的零部件或整机，并承担产生的所有费用，并赔偿因此给甲方造成的损失。如果在大修阶段由于乙方技术人员指导失误或乙方所供技术资料、图纸、名称、规格型号的错误、设备出现缺陷或损坏等事宜，乙方应免费负责修理或更换有缺陷的零部件或整机，乙方承担修补或更换部件及装运的全部费用，质保期相应的顺延。质保期外，大修项目出现质量问题，若确系设计、技术协议包含备件原因造成的，乙方应在24小时内免费处理，所需费用由乙方负担。</w:t>
      </w:r>
    </w:p>
    <w:p w14:paraId="7A4E7D2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2、合同项下大修及检测的质量保证期为自</w:t>
      </w:r>
      <w:r>
        <w:rPr>
          <w:rFonts w:hint="eastAsia" w:ascii="仿宋_GB2312" w:hAnsi="宋体" w:eastAsia="仿宋_GB2312"/>
          <w:sz w:val="28"/>
          <w:szCs w:val="28"/>
        </w:rPr>
        <w:t>首保合格出具验收合格证明之日起</w:t>
      </w:r>
      <w:r>
        <w:rPr>
          <w:rFonts w:hint="eastAsia" w:ascii="仿宋_GB2312" w:hAnsi="宋体" w:eastAsia="仿宋_GB2312"/>
          <w:bCs/>
          <w:sz w:val="28"/>
          <w:szCs w:val="28"/>
        </w:rPr>
        <w:t>12个月，乙方质保责任包含但不限于首保，应对合同期内及质保期内所有大修服务承担责任。</w:t>
      </w:r>
    </w:p>
    <w:p w14:paraId="30239D34">
      <w:pPr>
        <w:snapToGrid w:val="0"/>
        <w:spacing w:line="460" w:lineRule="exact"/>
        <w:ind w:firstLine="532" w:firstLineChars="190"/>
        <w:rPr>
          <w:rFonts w:ascii="仿宋_GB2312" w:hAnsi="宋体" w:eastAsia="仿宋_GB2312"/>
          <w:bCs/>
          <w:color w:val="000000"/>
          <w:sz w:val="28"/>
          <w:szCs w:val="28"/>
        </w:rPr>
      </w:pPr>
      <w:r>
        <w:rPr>
          <w:rFonts w:hint="eastAsia" w:ascii="仿宋_GB2312" w:hAnsi="宋体" w:eastAsia="仿宋_GB2312"/>
          <w:bCs/>
          <w:color w:val="000000"/>
          <w:sz w:val="28"/>
          <w:szCs w:val="28"/>
        </w:rPr>
        <w:t>3、乙方大修及检测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设备仍无法达到技术规范要求，双方协商，甲方有权自行处理并不承担任何责任，同时乙方应退还甲方付给乙方的所有款项，且赔偿由此给甲方造成的所有损失，并向甲方支付合同总额20%的违约金。若经协商甲方同意接受，每一项与技术附件</w:t>
      </w:r>
      <w:r>
        <w:rPr>
          <w:rFonts w:hint="eastAsia" w:ascii="仿宋_GB2312" w:hAnsi="宋体" w:eastAsia="仿宋_GB2312"/>
          <w:bCs/>
          <w:color w:val="000000"/>
          <w:spacing w:val="-20"/>
          <w:sz w:val="28"/>
          <w:szCs w:val="28"/>
        </w:rPr>
        <w:t>中指标要求不符的内容，由乙方向甲方支付合同总额的0.5%作为违约金。</w:t>
      </w:r>
    </w:p>
    <w:p w14:paraId="6152A689">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应保证大修服务不会引起任何第三方提出的侵权赔偿，如果出现第三方针对甲方使用乙方按照本合同提供的合同设备和技术文件的侵权诉讼，乙方应有独立的权利和责任自费辩护和解决这些问题，甲方不承担任何法律和经济责任。甲方应向乙方提供诉讼方面的必要信息。如给甲方造成损失，乙方应全额赔偿甲方的损失。</w:t>
      </w:r>
    </w:p>
    <w:p w14:paraId="3ACBBD05">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w:t>
      </w:r>
      <w:r>
        <w:rPr>
          <w:rFonts w:hint="eastAsia" w:ascii="仿宋_GB2312" w:eastAsia="仿宋_GB2312"/>
          <w:bCs/>
          <w:sz w:val="28"/>
          <w:szCs w:val="28"/>
        </w:rPr>
        <w:t>乙方保证大修符合本合同《技术协议》的规定。</w:t>
      </w:r>
    </w:p>
    <w:p w14:paraId="351F4E32">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6、乙方应保证所提供的技术资料必须是及时的、完整的、正确的，且能满足大修的调试、操作要求。</w:t>
      </w:r>
    </w:p>
    <w:p w14:paraId="0D07A4CA">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7、乙方保证协议中所规定的包含的备件，未经甲方书面同意，不得更改。选购的元器件应符合现行通用标准。</w:t>
      </w:r>
    </w:p>
    <w:p w14:paraId="79499DF0">
      <w:pPr>
        <w:snapToGrid w:val="0"/>
        <w:spacing w:line="100" w:lineRule="exact"/>
        <w:rPr>
          <w:rFonts w:ascii="仿宋_GB2312" w:hAnsi="宋体" w:eastAsia="仿宋_GB2312"/>
          <w:sz w:val="28"/>
          <w:szCs w:val="28"/>
        </w:rPr>
      </w:pPr>
    </w:p>
    <w:p w14:paraId="183D081C">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8   索  赔</w:t>
      </w:r>
    </w:p>
    <w:p w14:paraId="786CE0D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处理方式处理索赔事宜，甲方将从未付款中扣回索赔金额，同时保留进一步要求赔偿的权利。</w:t>
      </w:r>
    </w:p>
    <w:p w14:paraId="03FA09E0">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2、如属甲方使用不当造成损坏，乙方也有义务予以处理，备件费用由甲方承担。</w:t>
      </w:r>
    </w:p>
    <w:p w14:paraId="2A59765F">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3、因乙方大修问题造成事故的，所有责任由乙方承担，给甲方造成损失的，乙方应当赔偿。。</w:t>
      </w:r>
    </w:p>
    <w:p w14:paraId="451EE37E">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4D0A2F7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5、乙方向甲方开具</w:t>
      </w:r>
      <w:r>
        <w:rPr>
          <w:rFonts w:ascii="仿宋_GB2312" w:hAnsi="宋体" w:eastAsia="仿宋_GB2312"/>
          <w:bCs/>
          <w:sz w:val="28"/>
          <w:szCs w:val="28"/>
        </w:rPr>
        <w:t>**</w:t>
      </w:r>
      <w:r>
        <w:rPr>
          <w:rFonts w:hint="eastAsia" w:ascii="仿宋_GB2312" w:hAnsi="宋体" w:eastAsia="仿宋_GB2312"/>
          <w:bCs/>
          <w:sz w:val="28"/>
          <w:szCs w:val="28"/>
        </w:rPr>
        <w:t>%的增值税发票，若出现税务部门不认可的情况，乙方应在接到甲方通知之日起7个工作日内予以更换，否则须向甲方支付合同总价20%的违约金，违约金可直接从未付款中扣除。</w:t>
      </w:r>
    </w:p>
    <w:p w14:paraId="1ACBC82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6、如果乙方未能按甲方通知的时间进行大修（不可抗力除外），在乙方同意支付核定损失额的条件下，甲方将同意延长交货期。核定损失额的支付将从未付款项中扣除。核定损失额比率为每逾期1天，按设备大修费用的0.5%计算，不满1天按1天计算，但是，核定损失额的支付不得超过迟交货物金额的10%。如果卖方在达到核定损失额的最高限额后仍不能大修，买方有权因乙方违约终止合同，而乙方仍有义务支付上述迟交核定损失金额。</w:t>
      </w:r>
    </w:p>
    <w:p w14:paraId="16C9D3BD">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2、若乙方延迟大修对买方造成严重影响，或因乙方的延迟导致甲方不需乙方大修，买方有权视具体情况解除部分或全部合同，卖方应向买</w:t>
      </w:r>
      <w:r>
        <w:rPr>
          <w:rFonts w:hint="eastAsia" w:ascii="仿宋_GB2312" w:hAnsi="宋体" w:eastAsia="仿宋_GB2312"/>
          <w:bCs/>
          <w:spacing w:val="-20"/>
          <w:sz w:val="28"/>
          <w:szCs w:val="28"/>
        </w:rPr>
        <w:t>方支付合同总金额10%的延迟大修违约金，并赔偿由此给甲方造成的损失</w:t>
      </w:r>
      <w:r>
        <w:rPr>
          <w:rFonts w:hint="eastAsia" w:ascii="仿宋_GB2312" w:hAnsi="宋体" w:eastAsia="仿宋_GB2312"/>
          <w:bCs/>
          <w:sz w:val="28"/>
          <w:szCs w:val="28"/>
        </w:rPr>
        <w:t>。</w:t>
      </w:r>
    </w:p>
    <w:p w14:paraId="57CCB826">
      <w:pPr>
        <w:snapToGrid w:val="0"/>
        <w:spacing w:line="100" w:lineRule="exact"/>
        <w:ind w:left="-2" w:leftChars="-1" w:firstLine="560" w:firstLineChars="200"/>
        <w:rPr>
          <w:rFonts w:ascii="仿宋_GB2312" w:hAnsi="宋体" w:eastAsia="仿宋_GB2312"/>
          <w:bCs/>
          <w:sz w:val="28"/>
          <w:szCs w:val="28"/>
        </w:rPr>
      </w:pPr>
    </w:p>
    <w:p w14:paraId="63C17660">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9   不可抗力</w:t>
      </w:r>
    </w:p>
    <w:p w14:paraId="0FE72249">
      <w:pPr>
        <w:snapToGrid w:val="0"/>
        <w:spacing w:line="460" w:lineRule="exact"/>
        <w:ind w:firstLine="560" w:firstLineChars="200"/>
        <w:rPr>
          <w:rFonts w:ascii="仿宋_GB2312" w:hAnsi="宋体" w:eastAsia="仿宋_GB2312"/>
          <w:bCs/>
          <w:spacing w:val="-20"/>
          <w:sz w:val="28"/>
          <w:szCs w:val="28"/>
        </w:rPr>
      </w:pPr>
      <w:r>
        <w:rPr>
          <w:rFonts w:hint="eastAsia" w:ascii="仿宋_GB2312" w:hAnsi="宋体" w:eastAsia="仿宋_GB2312"/>
          <w:bCs/>
          <w:sz w:val="28"/>
          <w:szCs w:val="28"/>
        </w:rPr>
        <w:t>1、签约双方任一方由于受不可抗力事件的影响而不能执行合同时，履行合同的期限应予以延长，其延长的期限应相当于事件所影响的时间。不可抗力事件系指甲乙双方在执行本合同中任何一方</w:t>
      </w:r>
      <w:r>
        <w:rPr>
          <w:rFonts w:hint="eastAsia" w:ascii="仿宋_GB2312" w:hAnsi="宋体" w:eastAsia="仿宋_GB2312"/>
          <w:bCs/>
          <w:spacing w:val="-20"/>
          <w:sz w:val="28"/>
          <w:szCs w:val="28"/>
        </w:rPr>
        <w:t>不能控制和不能预见的，诸如战争、严重火灾、洪水、台风、地震等。</w:t>
      </w:r>
    </w:p>
    <w:p w14:paraId="311B031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4526883">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10   合同争议解决的方式</w:t>
      </w:r>
    </w:p>
    <w:p w14:paraId="18805DA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1、凡与本合同有关而引起的一切争议，双方应首先通过友好协商解决，如经协商后仍不能达成协议时，双方选择向合同签订地人民法院提出诉讼解决争议。</w:t>
      </w:r>
    </w:p>
    <w:p w14:paraId="0F95B77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2、由上述过程发生的费用除法院判决另有规定外，应由败诉方承担。</w:t>
      </w:r>
    </w:p>
    <w:p w14:paraId="7DAB59D7">
      <w:pPr>
        <w:snapToGrid w:val="0"/>
        <w:spacing w:line="460" w:lineRule="exact"/>
        <w:ind w:firstLine="504" w:firstLineChars="180"/>
        <w:rPr>
          <w:rFonts w:ascii="仿宋_GB2312" w:hAnsi="仿宋" w:eastAsia="仿宋_GB2312"/>
          <w:bCs/>
          <w:color w:val="000000"/>
          <w:sz w:val="28"/>
          <w:szCs w:val="28"/>
        </w:rPr>
      </w:pPr>
      <w:r>
        <w:rPr>
          <w:rFonts w:hint="eastAsia" w:ascii="仿宋_GB2312" w:hAnsi="仿宋" w:eastAsia="仿宋_GB2312"/>
          <w:bCs/>
          <w:color w:val="000000"/>
          <w:sz w:val="28"/>
          <w:szCs w:val="28"/>
        </w:rPr>
        <w:t>3、在进行法院审理期间，除法院审理的部分外，合同其他部分仍应继续履行。</w:t>
      </w:r>
    </w:p>
    <w:p w14:paraId="31A28D9C">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11   适用法律</w:t>
      </w:r>
    </w:p>
    <w:p w14:paraId="441F60EE">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本合同应按中华人民共和国《民法典》及相关法律解释。</w:t>
      </w:r>
    </w:p>
    <w:p w14:paraId="02D65A57">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12    通知</w:t>
      </w:r>
    </w:p>
    <w:p w14:paraId="745460D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合同任何一方给另一方的通知都应以书面的形式发送，而另一方应以书面形式确认并发送到对方明确的地址。</w:t>
      </w:r>
    </w:p>
    <w:p w14:paraId="641422E0">
      <w:pPr>
        <w:snapToGrid w:val="0"/>
        <w:spacing w:line="100" w:lineRule="exact"/>
        <w:rPr>
          <w:rFonts w:ascii="仿宋_GB2312" w:hAnsi="宋体" w:eastAsia="仿宋_GB2312"/>
          <w:b/>
          <w:color w:val="000000"/>
          <w:sz w:val="28"/>
          <w:szCs w:val="28"/>
        </w:rPr>
      </w:pPr>
    </w:p>
    <w:p w14:paraId="738AC536">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13   合同生效</w:t>
      </w:r>
    </w:p>
    <w:p w14:paraId="2DBCA0A7">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1、本合同自双方签字盖章之日起生效，至双方履行完各自义务索赔完毕时终止。</w:t>
      </w:r>
    </w:p>
    <w:p w14:paraId="386C0035">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2、本合同一式八份，甲方执六份，乙方执二份。</w:t>
      </w:r>
    </w:p>
    <w:p w14:paraId="2250CD6B">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14    其它约定事项</w:t>
      </w:r>
    </w:p>
    <w:p w14:paraId="10E5456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1、合同所附技术协议书，与本合同具有同等法律效力。</w:t>
      </w:r>
    </w:p>
    <w:p w14:paraId="46A38D54">
      <w:pPr>
        <w:snapToGrid w:val="0"/>
        <w:spacing w:line="460" w:lineRule="exact"/>
        <w:ind w:firstLine="560" w:firstLineChars="200"/>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2、未</w:t>
      </w:r>
      <w:r>
        <w:rPr>
          <w:rFonts w:hint="eastAsia" w:ascii="仿宋_GB2312" w:hAnsi="仿宋" w:eastAsia="仿宋_GB2312"/>
          <w:bCs/>
          <w:color w:val="000000"/>
          <w:spacing w:val="-20"/>
          <w:sz w:val="28"/>
          <w:szCs w:val="28"/>
        </w:rPr>
        <w:t>经甲方书面同意，乙方不得将本合同权利义务转让给第三方。</w:t>
      </w:r>
    </w:p>
    <w:p w14:paraId="0B71A95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3、乙方大修、安装、调试人员应遵守甲方现场的各项规章制度并作好自我的安全防护措施，若由于自身原因造成不安全事件发生，一切责任由乙方承担。</w:t>
      </w:r>
    </w:p>
    <w:p w14:paraId="227AD9B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4、如果乙方破产或无清偿能力时，甲方可在任何时候以书面通知乙方终止合同。该终止合同将不损害或影响甲方已经采取或将要采取的补救措施的权利。</w:t>
      </w:r>
    </w:p>
    <w:p w14:paraId="5DFFB452">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5、在合同执行过程中,若出现商务合同与技术协议有冲突的情况,以本合同为执行标准.本合同未涉及的部分,以技术协议为执行标准。</w:t>
      </w:r>
    </w:p>
    <w:p w14:paraId="35B5A261">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6、乙方负责大修调试至满足技术协议及甲方使用要求。</w:t>
      </w:r>
    </w:p>
    <w:p w14:paraId="14232EFE">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7、未尽事宜，双方可签订补充协议。 </w:t>
      </w:r>
    </w:p>
    <w:p w14:paraId="4E05EAC5">
      <w:pPr>
        <w:snapToGrid w:val="0"/>
        <w:spacing w:line="460" w:lineRule="exact"/>
        <w:ind w:firstLine="422" w:firstLineChars="150"/>
        <w:rPr>
          <w:rFonts w:ascii="仿宋_GB2312" w:hAnsi="仿宋" w:eastAsia="仿宋_GB2312"/>
          <w:b/>
          <w:sz w:val="28"/>
          <w:szCs w:val="28"/>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175"/>
      </w:tblGrid>
      <w:tr w14:paraId="1F1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87" w:type="dxa"/>
          </w:tcPr>
          <w:p w14:paraId="24CE924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甲方：*</w:t>
            </w:r>
            <w:r>
              <w:rPr>
                <w:rFonts w:ascii="仿宋" w:hAnsi="仿宋" w:eastAsia="仿宋" w:cs="仿宋"/>
                <w:bCs/>
                <w:sz w:val="28"/>
                <w:szCs w:val="28"/>
              </w:rPr>
              <w:t>************</w:t>
            </w:r>
            <w:r>
              <w:rPr>
                <w:rFonts w:hint="eastAsia" w:ascii="仿宋" w:hAnsi="仿宋" w:eastAsia="仿宋" w:cs="仿宋"/>
                <w:bCs/>
                <w:sz w:val="28"/>
                <w:szCs w:val="28"/>
              </w:rPr>
              <w:t>公司</w:t>
            </w:r>
          </w:p>
          <w:p w14:paraId="23CD8222">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地址：新安产业集聚区</w:t>
            </w:r>
          </w:p>
          <w:p w14:paraId="1E0626E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p>
          <w:p w14:paraId="6D0E0EA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开户行： </w:t>
            </w:r>
          </w:p>
          <w:p w14:paraId="4F550E1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账号：</w:t>
            </w:r>
          </w:p>
          <w:p w14:paraId="0D0B225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税号： </w:t>
            </w:r>
          </w:p>
          <w:p w14:paraId="7F301E3E">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c>
          <w:tcPr>
            <w:tcW w:w="5175" w:type="dxa"/>
          </w:tcPr>
          <w:p w14:paraId="74051FCA">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乙方：*</w:t>
            </w:r>
            <w:r>
              <w:rPr>
                <w:rFonts w:ascii="仿宋" w:hAnsi="仿宋" w:eastAsia="仿宋" w:cs="仿宋"/>
                <w:bCs/>
                <w:sz w:val="28"/>
                <w:szCs w:val="28"/>
              </w:rPr>
              <w:t>*********</w:t>
            </w:r>
            <w:r>
              <w:rPr>
                <w:rFonts w:hint="eastAsia" w:ascii="仿宋" w:hAnsi="仿宋" w:eastAsia="仿宋" w:cs="仿宋"/>
                <w:bCs/>
                <w:sz w:val="28"/>
                <w:szCs w:val="28"/>
              </w:rPr>
              <w:t xml:space="preserve">备有限公司      </w:t>
            </w:r>
          </w:p>
          <w:p w14:paraId="03A17E8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w:t>
            </w:r>
            <w:r>
              <w:rPr>
                <w:rFonts w:ascii="仿宋" w:hAnsi="仿宋" w:eastAsia="仿宋" w:cs="仿宋"/>
                <w:bCs/>
                <w:sz w:val="28"/>
                <w:szCs w:val="28"/>
              </w:rPr>
              <w:t>**********</w:t>
            </w:r>
          </w:p>
          <w:p w14:paraId="6580859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w:t>
            </w:r>
            <w:r>
              <w:rPr>
                <w:rFonts w:hint="eastAsia" w:ascii="仿宋" w:hAnsi="仿宋" w:eastAsia="仿宋" w:cs="仿宋"/>
                <w:bCs/>
                <w:sz w:val="28"/>
                <w:szCs w:val="28"/>
              </w:rPr>
              <w:t xml:space="preserve">             </w:t>
            </w:r>
          </w:p>
          <w:p w14:paraId="0E90FB2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开户行：</w:t>
            </w:r>
          </w:p>
          <w:p w14:paraId="6B00853F">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帐号：</w:t>
            </w:r>
          </w:p>
          <w:p w14:paraId="0E04BFEB">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税号：</w:t>
            </w:r>
          </w:p>
          <w:p w14:paraId="674361E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r>
    </w:tbl>
    <w:p w14:paraId="5DC3BBF3">
      <w:pPr>
        <w:spacing w:line="520" w:lineRule="exact"/>
        <w:rPr>
          <w:rFonts w:ascii="仿宋" w:hAnsi="仿宋" w:eastAsia="仿宋"/>
          <w:sz w:val="28"/>
          <w:szCs w:val="28"/>
        </w:rPr>
      </w:pPr>
    </w:p>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差异回复：（投标人若对招标要求有异议，可将差异填写在如下表格中，如无差异直接差异表中填写无）</w:t>
      </w:r>
    </w:p>
    <w:tbl>
      <w:tblPr>
        <w:tblStyle w:val="60"/>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152C6FF3">
      <w:pPr>
        <w:spacing w:line="460" w:lineRule="exact"/>
        <w:rPr>
          <w:rFonts w:hint="eastAsia"/>
          <w:lang w:val="en-US" w:eastAsia="zh-CN"/>
        </w:rPr>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w:t>
      </w:r>
      <w:bookmarkStart w:id="0" w:name="_Toc472454500"/>
      <w:bookmarkStart w:id="1" w:name="_Toc468785718"/>
    </w:p>
    <w:bookmarkEnd w:id="0"/>
    <w:bookmarkEnd w:id="1"/>
    <w:p w14:paraId="167B73D1">
      <w:pPr>
        <w:spacing w:line="360" w:lineRule="auto"/>
        <w:jc w:val="both"/>
        <w:rPr>
          <w:rFonts w:hint="eastAsia" w:ascii="Arial" w:hAnsi="Arial" w:cs="Arial"/>
          <w:b/>
          <w:sz w:val="28"/>
        </w:rPr>
      </w:pPr>
      <w:bookmarkStart w:id="2" w:name="_Toc35655814"/>
    </w:p>
    <w:p w14:paraId="516DC50C">
      <w:pPr>
        <w:autoSpaceDE w:val="0"/>
        <w:autoSpaceDN w:val="0"/>
        <w:adjustRightInd w:val="0"/>
        <w:spacing w:line="360" w:lineRule="auto"/>
        <w:jc w:val="center"/>
        <w:rPr>
          <w:rFonts w:hint="eastAsia" w:ascii="宋体" w:cs="宋体"/>
          <w:b/>
          <w:kern w:val="0"/>
          <w:sz w:val="44"/>
          <w:szCs w:val="44"/>
        </w:rPr>
      </w:pPr>
    </w:p>
    <w:bookmarkEnd w:id="2"/>
    <w:p w14:paraId="20D14C7B">
      <w:pPr>
        <w:spacing w:line="360" w:lineRule="auto"/>
        <w:ind w:left="0" w:leftChars="0" w:firstLine="0" w:firstLineChars="0"/>
        <w:rPr>
          <w:rFonts w:ascii="华文细黑" w:hAnsi="华文细黑" w:eastAsia="华文细黑"/>
          <w:b/>
          <w:bCs/>
          <w:color w:val="000000"/>
          <w:sz w:val="44"/>
          <w:szCs w:val="24"/>
          <w:highlight w:val="none"/>
        </w:rPr>
      </w:pPr>
    </w:p>
    <w:p w14:paraId="281F0826">
      <w:pPr>
        <w:widowControl/>
        <w:tabs>
          <w:tab w:val="center" w:pos="4649"/>
          <w:tab w:val="right" w:pos="9299"/>
        </w:tabs>
        <w:adjustRightInd w:val="0"/>
        <w:snapToGrid w:val="0"/>
        <w:spacing w:before="60" w:after="200" w:line="360" w:lineRule="auto"/>
        <w:ind w:firstLine="880"/>
        <w:jc w:val="center"/>
        <w:rPr>
          <w:rFonts w:ascii="黑体" w:hAnsi="黑体" w:eastAsia="黑体"/>
          <w:color w:val="000000"/>
          <w:sz w:val="32"/>
          <w:szCs w:val="32"/>
          <w:highlight w:val="none"/>
        </w:rPr>
      </w:pPr>
    </w:p>
    <w:p w14:paraId="5A03BB55">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bookmarkStart w:id="3" w:name="_Toc1990"/>
      <w:bookmarkStart w:id="4" w:name="_Toc19958"/>
      <w:bookmarkStart w:id="5" w:name="_Toc31070"/>
    </w:p>
    <w:p w14:paraId="77F838EF">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05EAB36D">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64E73DB3">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3CB607A9">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1B9DAD6D">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7DFC4130">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6B4E8323">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5DD0F716">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166A353D">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3ABA520A">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00303A88">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0A8BFDEC">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7B3C9CB6">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22322B32">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47EF6327">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洛阳万基宏远电力有限公司</w:t>
      </w:r>
    </w:p>
    <w:p w14:paraId="680D8AE9">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sz w:val="32"/>
          <w:szCs w:val="32"/>
        </w:rPr>
        <w:t>2×600MW机组灵活性及节能改造项目</w:t>
      </w:r>
    </w:p>
    <w:p w14:paraId="15CBA4D9">
      <w:pPr>
        <w:pStyle w:val="306"/>
        <w:keepNext w:val="0"/>
        <w:keepLines w:val="0"/>
        <w:pageBreakBefore w:val="0"/>
        <w:widowControl/>
        <w:tabs>
          <w:tab w:val="center" w:pos="4649"/>
          <w:tab w:val="right" w:pos="9299"/>
        </w:tabs>
        <w:kinsoku/>
        <w:wordWrap/>
        <w:overflowPunct/>
        <w:topLinePunct w:val="0"/>
        <w:autoSpaceDE/>
        <w:autoSpaceDN/>
        <w:bidi w:val="0"/>
        <w:adjustRightInd w:val="0"/>
        <w:spacing w:after="200" w:line="360" w:lineRule="auto"/>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 xml:space="preserve">     #2机组锅炉</w:t>
      </w:r>
      <w:bookmarkEnd w:id="3"/>
      <w:bookmarkEnd w:id="4"/>
      <w:bookmarkEnd w:id="5"/>
      <w:r>
        <w:rPr>
          <w:rFonts w:hint="eastAsia" w:ascii="仿宋" w:hAnsi="仿宋" w:eastAsia="仿宋" w:cs="仿宋"/>
          <w:b/>
          <w:bCs/>
          <w:color w:val="000000"/>
          <w:kern w:val="0"/>
          <w:sz w:val="32"/>
          <w:szCs w:val="32"/>
          <w:highlight w:val="none"/>
          <w:lang w:val="en-US" w:eastAsia="zh-CN"/>
        </w:rPr>
        <w:t>原煤仓分仓改造招标技术规范</w:t>
      </w:r>
    </w:p>
    <w:p w14:paraId="6DC83463">
      <w:pPr>
        <w:keepNext w:val="0"/>
        <w:keepLines w:val="0"/>
        <w:pageBreakBefore w:val="0"/>
        <w:widowControl/>
        <w:tabs>
          <w:tab w:val="center" w:pos="4649"/>
          <w:tab w:val="right" w:pos="9299"/>
        </w:tabs>
        <w:kinsoku/>
        <w:wordWrap/>
        <w:overflowPunct/>
        <w:topLinePunct w:val="0"/>
        <w:autoSpaceDE/>
        <w:autoSpaceDN/>
        <w:bidi w:val="0"/>
        <w:adjustRightInd w:val="0"/>
        <w:snapToGrid w:val="0"/>
        <w:spacing w:line="360" w:lineRule="auto"/>
        <w:ind w:firstLine="1040"/>
        <w:jc w:val="center"/>
        <w:rPr>
          <w:rFonts w:ascii="黑体" w:hAnsi="黑体" w:eastAsia="黑体"/>
          <w:color w:val="000000"/>
          <w:kern w:val="0"/>
          <w:sz w:val="32"/>
          <w:szCs w:val="32"/>
          <w:highlight w:val="none"/>
        </w:rPr>
      </w:pPr>
    </w:p>
    <w:p w14:paraId="6A32E3D1">
      <w:pPr>
        <w:keepNext w:val="0"/>
        <w:keepLines w:val="0"/>
        <w:pageBreakBefore w:val="0"/>
        <w:widowControl/>
        <w:tabs>
          <w:tab w:val="center" w:pos="4649"/>
          <w:tab w:val="right" w:pos="9299"/>
        </w:tabs>
        <w:kinsoku/>
        <w:wordWrap/>
        <w:overflowPunct/>
        <w:topLinePunct w:val="0"/>
        <w:autoSpaceDE/>
        <w:autoSpaceDN/>
        <w:bidi w:val="0"/>
        <w:adjustRightInd w:val="0"/>
        <w:snapToGrid w:val="0"/>
        <w:spacing w:line="360" w:lineRule="auto"/>
        <w:ind w:firstLine="1040"/>
        <w:jc w:val="center"/>
        <w:rPr>
          <w:rFonts w:ascii="黑体" w:hAnsi="黑体" w:eastAsia="黑体"/>
          <w:color w:val="000000"/>
          <w:kern w:val="0"/>
          <w:sz w:val="32"/>
          <w:szCs w:val="32"/>
          <w:highlight w:val="none"/>
        </w:rPr>
      </w:pPr>
    </w:p>
    <w:p w14:paraId="0922155C">
      <w:pPr>
        <w:keepNext w:val="0"/>
        <w:keepLines w:val="0"/>
        <w:pageBreakBefore w:val="0"/>
        <w:widowControl/>
        <w:tabs>
          <w:tab w:val="center" w:pos="4649"/>
          <w:tab w:val="right" w:pos="9299"/>
        </w:tabs>
        <w:kinsoku/>
        <w:wordWrap/>
        <w:overflowPunct/>
        <w:topLinePunct w:val="0"/>
        <w:autoSpaceDE/>
        <w:autoSpaceDN/>
        <w:bidi w:val="0"/>
        <w:adjustRightInd w:val="0"/>
        <w:snapToGrid w:val="0"/>
        <w:spacing w:line="360" w:lineRule="auto"/>
        <w:ind w:firstLine="1040"/>
        <w:jc w:val="center"/>
        <w:rPr>
          <w:rFonts w:ascii="黑体" w:hAnsi="黑体" w:eastAsia="黑体"/>
          <w:color w:val="000000"/>
          <w:kern w:val="0"/>
          <w:sz w:val="32"/>
          <w:szCs w:val="32"/>
          <w:highlight w:val="none"/>
        </w:rPr>
      </w:pPr>
    </w:p>
    <w:p w14:paraId="0002CA46">
      <w:pPr>
        <w:keepNext w:val="0"/>
        <w:keepLines w:val="0"/>
        <w:pageBreakBefore w:val="0"/>
        <w:kinsoku/>
        <w:wordWrap/>
        <w:overflowPunct/>
        <w:topLinePunct w:val="0"/>
        <w:autoSpaceDE/>
        <w:autoSpaceDN/>
        <w:bidi w:val="0"/>
        <w:spacing w:line="360" w:lineRule="auto"/>
        <w:ind w:firstLine="1928" w:firstLineChars="600"/>
        <w:jc w:val="left"/>
        <w:rPr>
          <w:rFonts w:hint="eastAsia" w:ascii="仿宋" w:hAnsi="仿宋" w:eastAsia="仿宋" w:cs="仿宋"/>
          <w:b/>
          <w:bCs/>
          <w:sz w:val="32"/>
          <w:szCs w:val="32"/>
        </w:rPr>
      </w:pPr>
      <w:r>
        <w:rPr>
          <w:rFonts w:hint="eastAsia" w:ascii="仿宋" w:hAnsi="仿宋" w:eastAsia="仿宋" w:cs="仿宋"/>
          <w:b/>
          <w:bCs/>
          <w:sz w:val="32"/>
          <w:szCs w:val="32"/>
        </w:rPr>
        <w:t>批准：</w:t>
      </w:r>
    </w:p>
    <w:p w14:paraId="2C0333EC">
      <w:pPr>
        <w:keepNext w:val="0"/>
        <w:keepLines w:val="0"/>
        <w:pageBreakBefore w:val="0"/>
        <w:kinsoku/>
        <w:wordWrap/>
        <w:overflowPunct/>
        <w:topLinePunct w:val="0"/>
        <w:autoSpaceDE/>
        <w:autoSpaceDN/>
        <w:bidi w:val="0"/>
        <w:spacing w:line="360" w:lineRule="auto"/>
        <w:ind w:firstLine="1928" w:firstLineChars="6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p>
    <w:p w14:paraId="4A06A866">
      <w:pPr>
        <w:keepNext w:val="0"/>
        <w:keepLines w:val="0"/>
        <w:pageBreakBefore w:val="0"/>
        <w:kinsoku/>
        <w:wordWrap/>
        <w:overflowPunct/>
        <w:topLinePunct w:val="0"/>
        <w:autoSpaceDE/>
        <w:autoSpaceDN/>
        <w:bidi w:val="0"/>
        <w:spacing w:line="360" w:lineRule="auto"/>
        <w:ind w:firstLine="1928" w:firstLineChars="600"/>
        <w:rPr>
          <w:rFonts w:hint="eastAsia" w:ascii="仿宋" w:hAnsi="仿宋" w:eastAsia="仿宋" w:cs="仿宋"/>
          <w:b/>
          <w:bCs/>
          <w:sz w:val="32"/>
          <w:szCs w:val="32"/>
        </w:rPr>
      </w:pPr>
      <w:r>
        <w:rPr>
          <w:rFonts w:hint="eastAsia" w:ascii="仿宋" w:hAnsi="仿宋" w:eastAsia="仿宋" w:cs="仿宋"/>
          <w:b/>
          <w:bCs/>
          <w:sz w:val="32"/>
          <w:szCs w:val="32"/>
        </w:rPr>
        <w:t>审</w:t>
      </w:r>
      <w:r>
        <w:rPr>
          <w:rFonts w:hint="eastAsia" w:ascii="仿宋" w:hAnsi="仿宋" w:eastAsia="仿宋" w:cs="仿宋"/>
          <w:b/>
          <w:bCs/>
          <w:sz w:val="32"/>
          <w:szCs w:val="32"/>
          <w:lang w:val="en-US" w:eastAsia="zh-CN"/>
        </w:rPr>
        <w:t>定</w:t>
      </w:r>
      <w:r>
        <w:rPr>
          <w:rFonts w:hint="eastAsia" w:ascii="仿宋" w:hAnsi="仿宋" w:eastAsia="仿宋" w:cs="仿宋"/>
          <w:b/>
          <w:bCs/>
          <w:sz w:val="32"/>
          <w:szCs w:val="32"/>
        </w:rPr>
        <w:t>：</w:t>
      </w:r>
    </w:p>
    <w:p w14:paraId="11C70935">
      <w:pPr>
        <w:keepNext w:val="0"/>
        <w:keepLines w:val="0"/>
        <w:pageBreakBefore w:val="0"/>
        <w:kinsoku/>
        <w:wordWrap/>
        <w:overflowPunct/>
        <w:topLinePunct w:val="0"/>
        <w:autoSpaceDE/>
        <w:autoSpaceDN/>
        <w:bidi w:val="0"/>
        <w:spacing w:line="360" w:lineRule="auto"/>
        <w:ind w:firstLine="1606" w:firstLineChars="500"/>
        <w:rPr>
          <w:rFonts w:hint="eastAsia" w:ascii="仿宋" w:hAnsi="仿宋" w:eastAsia="仿宋" w:cs="仿宋"/>
          <w:b/>
          <w:bCs/>
          <w:sz w:val="32"/>
          <w:szCs w:val="32"/>
          <w:lang w:val="en-US" w:eastAsia="zh-CN"/>
        </w:rPr>
      </w:pPr>
    </w:p>
    <w:p w14:paraId="1B57A16F">
      <w:pPr>
        <w:keepNext w:val="0"/>
        <w:keepLines w:val="0"/>
        <w:pageBreakBefore w:val="0"/>
        <w:kinsoku/>
        <w:wordWrap/>
        <w:overflowPunct/>
        <w:topLinePunct w:val="0"/>
        <w:autoSpaceDE/>
        <w:autoSpaceDN/>
        <w:bidi w:val="0"/>
        <w:spacing w:line="360" w:lineRule="auto"/>
        <w:ind w:firstLine="1928" w:firstLineChars="6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审核：</w:t>
      </w:r>
    </w:p>
    <w:p w14:paraId="1E8F5E1A">
      <w:pPr>
        <w:keepNext w:val="0"/>
        <w:keepLines w:val="0"/>
        <w:pageBreakBefore w:val="0"/>
        <w:kinsoku/>
        <w:wordWrap/>
        <w:overflowPunct/>
        <w:topLinePunct w:val="0"/>
        <w:autoSpaceDE/>
        <w:autoSpaceDN/>
        <w:bidi w:val="0"/>
        <w:spacing w:line="360" w:lineRule="auto"/>
        <w:ind w:firstLine="1928" w:firstLineChars="600"/>
        <w:rPr>
          <w:rFonts w:hint="eastAsia" w:ascii="仿宋" w:hAnsi="仿宋" w:eastAsia="仿宋" w:cs="仿宋"/>
          <w:b/>
          <w:bCs/>
          <w:sz w:val="32"/>
          <w:szCs w:val="32"/>
          <w:lang w:val="en-US" w:eastAsia="zh-CN"/>
        </w:rPr>
      </w:pPr>
    </w:p>
    <w:p w14:paraId="7201CDD5">
      <w:pPr>
        <w:keepNext w:val="0"/>
        <w:keepLines w:val="0"/>
        <w:pageBreakBefore w:val="0"/>
        <w:kinsoku/>
        <w:wordWrap/>
        <w:overflowPunct/>
        <w:topLinePunct w:val="0"/>
        <w:autoSpaceDE/>
        <w:autoSpaceDN/>
        <w:bidi w:val="0"/>
        <w:spacing w:line="360" w:lineRule="auto"/>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编制：</w:t>
      </w:r>
    </w:p>
    <w:p w14:paraId="528594D4">
      <w:pPr>
        <w:keepNext w:val="0"/>
        <w:keepLines w:val="0"/>
        <w:pageBreakBefore w:val="0"/>
        <w:kinsoku/>
        <w:wordWrap/>
        <w:overflowPunct/>
        <w:topLinePunct w:val="0"/>
        <w:autoSpaceDE/>
        <w:autoSpaceDN/>
        <w:bidi w:val="0"/>
        <w:spacing w:line="360" w:lineRule="auto"/>
        <w:rPr>
          <w:rFonts w:hint="eastAsia" w:ascii="仿宋" w:hAnsi="仿宋" w:eastAsia="仿宋" w:cs="仿宋"/>
          <w:b/>
          <w:sz w:val="32"/>
          <w:szCs w:val="32"/>
        </w:rPr>
      </w:pPr>
    </w:p>
    <w:p w14:paraId="18DE9972">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仿宋" w:hAnsi="仿宋" w:eastAsia="仿宋" w:cs="仿宋"/>
          <w:b/>
          <w:color w:val="000000"/>
          <w:sz w:val="32"/>
          <w:szCs w:val="32"/>
        </w:rPr>
      </w:pPr>
    </w:p>
    <w:p w14:paraId="59034BD1">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仿宋" w:hAnsi="仿宋" w:eastAsia="仿宋" w:cs="仿宋"/>
          <w:b/>
          <w:color w:val="000000"/>
          <w:sz w:val="32"/>
          <w:szCs w:val="32"/>
        </w:rPr>
      </w:pPr>
    </w:p>
    <w:p w14:paraId="46A3A786">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lang w:val="en-US" w:eastAsia="zh-CN"/>
        </w:rPr>
        <w:t>洛阳万基宏远电力</w:t>
      </w:r>
      <w:r>
        <w:rPr>
          <w:rFonts w:hint="eastAsia" w:ascii="仿宋" w:hAnsi="仿宋" w:eastAsia="仿宋" w:cs="仿宋"/>
          <w:b/>
          <w:sz w:val="32"/>
          <w:szCs w:val="32"/>
        </w:rPr>
        <w:t>有限公司</w:t>
      </w:r>
    </w:p>
    <w:p w14:paraId="11BFBCE3">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2026年03月</w:t>
      </w:r>
    </w:p>
    <w:p w14:paraId="50A91B74">
      <w:pPr>
        <w:pStyle w:val="26"/>
        <w:keepNext w:val="0"/>
        <w:keepLines w:val="0"/>
        <w:pageBreakBefore w:val="0"/>
        <w:kinsoku/>
        <w:wordWrap/>
        <w:overflowPunct/>
        <w:topLinePunct w:val="0"/>
        <w:autoSpaceDE/>
        <w:autoSpaceDN/>
        <w:bidi w:val="0"/>
        <w:spacing w:line="360" w:lineRule="auto"/>
        <w:ind w:left="0" w:leftChars="0" w:firstLine="0" w:firstLineChars="0"/>
        <w:rPr>
          <w:rFonts w:hint="eastAsia"/>
          <w:sz w:val="32"/>
          <w:szCs w:val="32"/>
          <w:highlight w:val="none"/>
        </w:rPr>
      </w:pPr>
    </w:p>
    <w:p w14:paraId="5EF66519">
      <w:pPr>
        <w:pStyle w:val="27"/>
        <w:rPr>
          <w:rFonts w:hint="eastAsia"/>
          <w:highlight w:val="none"/>
        </w:rPr>
      </w:pPr>
    </w:p>
    <w:p w14:paraId="373635F8">
      <w:pPr>
        <w:pStyle w:val="308"/>
        <w:tabs>
          <w:tab w:val="right" w:leader="dot" w:pos="8306"/>
        </w:tabs>
        <w:ind w:left="0" w:leftChars="0" w:firstLine="0" w:firstLineChars="0"/>
        <w:rPr>
          <w:rFonts w:hint="eastAsia" w:ascii="黑体" w:hAnsi="黑体" w:eastAsia="黑体" w:cs="黑体"/>
          <w:b/>
          <w:bCs/>
          <w:sz w:val="28"/>
          <w:szCs w:val="28"/>
          <w:highlight w:val="none"/>
          <w:lang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bookmarkStart w:id="6" w:name="_Toc21783"/>
      <w:bookmarkStart w:id="7" w:name="_Toc32126"/>
    </w:p>
    <w:bookmarkEnd w:id="6"/>
    <w:bookmarkEnd w:id="7"/>
    <w:p w14:paraId="6D5A7667">
      <w:pPr>
        <w:pStyle w:val="2"/>
        <w:numPr>
          <w:ilvl w:val="0"/>
          <w:numId w:val="0"/>
        </w:numPr>
        <w:spacing w:before="0" w:after="0" w:line="360" w:lineRule="auto"/>
        <w:ind w:leftChars="0"/>
        <w:jc w:val="left"/>
        <w:rPr>
          <w:rFonts w:hint="eastAsia" w:ascii="仿宋" w:hAnsi="仿宋" w:eastAsia="仿宋" w:cs="仿宋"/>
          <w:b/>
          <w:bCs/>
          <w:sz w:val="28"/>
          <w:szCs w:val="28"/>
          <w:highlight w:val="none"/>
          <w:lang w:eastAsia="zh-CN"/>
        </w:rPr>
      </w:pPr>
      <w:bookmarkStart w:id="8" w:name="_Toc11454"/>
      <w:bookmarkStart w:id="9" w:name="_Toc25915"/>
      <w:bookmarkStart w:id="10" w:name="_Toc31682"/>
      <w:bookmarkStart w:id="11" w:name="_Toc12373"/>
      <w:bookmarkStart w:id="12" w:name="_Toc11787"/>
      <w:bookmarkStart w:id="13" w:name="_Toc13097"/>
      <w:bookmarkStart w:id="14" w:name="_Toc9364_WPSOffice_Level1"/>
      <w:bookmarkStart w:id="15" w:name="_Toc32318"/>
      <w:bookmarkStart w:id="16" w:name="_Toc703"/>
      <w:bookmarkStart w:id="17" w:name="_Toc2818"/>
      <w:bookmarkStart w:id="18" w:name="_Toc28408"/>
      <w:bookmarkStart w:id="19" w:name="_Toc472"/>
      <w:bookmarkStart w:id="20" w:name="_Toc26115"/>
      <w:bookmarkStart w:id="21" w:name="_Toc31792"/>
      <w:bookmarkStart w:id="22" w:name="_Toc16437"/>
      <w:bookmarkStart w:id="23" w:name="_Toc26630"/>
      <w:bookmarkStart w:id="24" w:name="_Toc18473"/>
      <w:bookmarkStart w:id="25" w:name="_Toc26312_WPSOffice_Level1"/>
      <w:bookmarkStart w:id="26" w:name="_Toc22357"/>
      <w:bookmarkStart w:id="27" w:name="_Toc14452"/>
      <w:bookmarkStart w:id="28" w:name="_Toc22489"/>
      <w:bookmarkStart w:id="29" w:name="_Toc17979"/>
      <w:bookmarkStart w:id="30" w:name="_Toc12453"/>
      <w:bookmarkStart w:id="31" w:name="_Toc5455"/>
      <w:bookmarkStart w:id="32" w:name="_Toc956"/>
      <w:bookmarkStart w:id="33" w:name="_Toc15725"/>
      <w:bookmarkStart w:id="34" w:name="_Toc14018"/>
      <w:r>
        <w:rPr>
          <w:rFonts w:hint="eastAsia" w:ascii="仿宋" w:hAnsi="仿宋" w:eastAsia="仿宋" w:cs="仿宋"/>
          <w:b/>
          <w:bCs/>
          <w:sz w:val="28"/>
          <w:szCs w:val="28"/>
          <w:highlight w:val="none"/>
          <w:lang w:val="en-US" w:eastAsia="zh-CN"/>
        </w:rPr>
        <w:t>一、</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仿宋" w:hAnsi="仿宋" w:eastAsia="仿宋" w:cs="仿宋"/>
          <w:b/>
          <w:bCs/>
          <w:sz w:val="28"/>
          <w:szCs w:val="28"/>
          <w:highlight w:val="none"/>
          <w:lang w:val="en-US" w:eastAsia="zh-CN"/>
        </w:rPr>
        <w:t>总则</w:t>
      </w:r>
    </w:p>
    <w:p w14:paraId="7A77C98C">
      <w:pPr>
        <w:keepNext w:val="0"/>
        <w:keepLines w:val="0"/>
        <w:pageBreakBefore w:val="0"/>
        <w:widowControl w:val="0"/>
        <w:numPr>
          <w:ilvl w:val="0"/>
          <w:numId w:val="0"/>
        </w:numPr>
        <w:kinsoku/>
        <w:wordWrap/>
        <w:overflowPunct/>
        <w:topLinePunct w:val="0"/>
        <w:autoSpaceDE/>
        <w:autoSpaceDN/>
        <w:bidi w:val="0"/>
        <w:spacing w:line="360" w:lineRule="auto"/>
        <w:ind w:firstLine="210" w:firstLineChars="100"/>
        <w:textAlignment w:val="auto"/>
        <w:rPr>
          <w:rFonts w:hint="eastAsia" w:ascii="仿宋" w:hAnsi="仿宋" w:eastAsia="仿宋" w:cs="仿宋"/>
          <w:sz w:val="28"/>
          <w:szCs w:val="28"/>
          <w:lang w:eastAsia="zh-CN"/>
        </w:rPr>
      </w:pPr>
      <w:r>
        <w:rPr>
          <w:rFonts w:hint="eastAsia" w:ascii="宋体" w:hAnsi="宋体" w:eastAsia="宋体" w:cs="宋体"/>
        </w:rPr>
        <w:t>1.1</w:t>
      </w:r>
      <w:r>
        <w:rPr>
          <w:rFonts w:hint="eastAsia" w:ascii="仿宋" w:hAnsi="仿宋" w:eastAsia="仿宋" w:cs="仿宋"/>
          <w:sz w:val="28"/>
          <w:szCs w:val="28"/>
          <w:lang w:val="en-US" w:eastAsia="zh-CN"/>
        </w:rPr>
        <w:t>本技术规范</w:t>
      </w:r>
      <w:r>
        <w:rPr>
          <w:rFonts w:hint="eastAsia" w:ascii="仿宋" w:hAnsi="仿宋" w:eastAsia="仿宋" w:cs="仿宋"/>
          <w:sz w:val="28"/>
          <w:szCs w:val="28"/>
        </w:rPr>
        <w:t>仅限于</w:t>
      </w:r>
      <w:r>
        <w:rPr>
          <w:rFonts w:hint="eastAsia" w:ascii="仿宋" w:hAnsi="仿宋" w:eastAsia="仿宋" w:cs="仿宋"/>
          <w:sz w:val="28"/>
          <w:szCs w:val="28"/>
          <w:lang w:val="en-US" w:eastAsia="zh-CN"/>
        </w:rPr>
        <w:t>招标方</w:t>
      </w:r>
      <w:r>
        <w:rPr>
          <w:rFonts w:hint="eastAsia" w:ascii="仿宋" w:hAnsi="仿宋" w:eastAsia="仿宋" w:cs="仿宋"/>
          <w:color w:val="000000"/>
          <w:sz w:val="28"/>
          <w:szCs w:val="28"/>
          <w:lang w:val="en-US" w:eastAsia="zh-CN"/>
        </w:rPr>
        <w:t>洛阳万基宏远电力</w:t>
      </w:r>
      <w:r>
        <w:rPr>
          <w:rFonts w:hint="eastAsia" w:ascii="仿宋" w:hAnsi="仿宋" w:eastAsia="仿宋" w:cs="仿宋"/>
          <w:color w:val="000000"/>
          <w:sz w:val="28"/>
          <w:szCs w:val="28"/>
        </w:rPr>
        <w:t>有限公司</w:t>
      </w:r>
      <w:r>
        <w:rPr>
          <w:rFonts w:hint="eastAsia" w:ascii="仿宋" w:hAnsi="仿宋" w:eastAsia="仿宋" w:cs="仿宋"/>
          <w:color w:val="000000"/>
          <w:sz w:val="28"/>
          <w:szCs w:val="28"/>
          <w:lang w:val="en-US" w:eastAsia="zh-CN"/>
        </w:rPr>
        <w:t>#2机组锅炉</w:t>
      </w:r>
      <w:r>
        <w:rPr>
          <w:rFonts w:hint="eastAsia" w:ascii="仿宋" w:hAnsi="仿宋" w:eastAsia="仿宋" w:cs="仿宋"/>
          <w:sz w:val="28"/>
          <w:szCs w:val="28"/>
          <w:lang w:val="en-US" w:eastAsia="zh-CN"/>
        </w:rPr>
        <w:t>原煤仓分仓改造项目</w:t>
      </w:r>
      <w:r>
        <w:rPr>
          <w:rFonts w:hint="eastAsia" w:ascii="仿宋" w:hAnsi="仿宋" w:eastAsia="仿宋" w:cs="仿宋"/>
          <w:sz w:val="28"/>
          <w:szCs w:val="28"/>
        </w:rPr>
        <w:t>，包括</w:t>
      </w:r>
      <w:r>
        <w:rPr>
          <w:rFonts w:hint="eastAsia" w:ascii="仿宋" w:hAnsi="仿宋" w:eastAsia="仿宋" w:cs="仿宋"/>
          <w:sz w:val="28"/>
          <w:szCs w:val="28"/>
          <w:lang w:val="en-US" w:eastAsia="zh-CN"/>
        </w:rPr>
        <w:t>但不限于原煤仓分仓改造</w:t>
      </w:r>
      <w:r>
        <w:rPr>
          <w:rFonts w:hint="eastAsia" w:ascii="仿宋" w:hAnsi="仿宋" w:eastAsia="仿宋" w:cs="仿宋"/>
          <w:sz w:val="28"/>
          <w:szCs w:val="28"/>
        </w:rPr>
        <w:t>的</w:t>
      </w:r>
      <w:r>
        <w:rPr>
          <w:rFonts w:hint="eastAsia" w:ascii="仿宋" w:hAnsi="仿宋" w:eastAsia="仿宋" w:cs="仿宋"/>
          <w:sz w:val="28"/>
          <w:szCs w:val="28"/>
          <w:lang w:val="en-US" w:eastAsia="zh-CN"/>
        </w:rPr>
        <w:t>现场踏勘、</w:t>
      </w:r>
      <w:r>
        <w:rPr>
          <w:rFonts w:hint="eastAsia" w:ascii="仿宋" w:hAnsi="仿宋" w:eastAsia="仿宋" w:cs="仿宋"/>
          <w:sz w:val="28"/>
          <w:szCs w:val="28"/>
        </w:rPr>
        <w:t>功能设计、制造、供货、运输、</w:t>
      </w:r>
      <w:r>
        <w:rPr>
          <w:rFonts w:hint="eastAsia" w:ascii="仿宋" w:hAnsi="仿宋" w:eastAsia="仿宋" w:cs="仿宋"/>
          <w:sz w:val="28"/>
          <w:szCs w:val="28"/>
          <w:lang w:eastAsia="zh-CN"/>
        </w:rPr>
        <w:t>保管、</w:t>
      </w:r>
      <w:r>
        <w:rPr>
          <w:rFonts w:hint="eastAsia" w:ascii="仿宋" w:hAnsi="仿宋" w:eastAsia="仿宋" w:cs="仿宋"/>
          <w:sz w:val="28"/>
          <w:szCs w:val="28"/>
          <w:lang w:val="en-US" w:eastAsia="zh-CN"/>
        </w:rPr>
        <w:t>安装施工、</w:t>
      </w:r>
      <w:r>
        <w:rPr>
          <w:rFonts w:hint="eastAsia" w:ascii="仿宋" w:hAnsi="仿宋" w:eastAsia="仿宋" w:cs="仿宋"/>
          <w:sz w:val="28"/>
          <w:szCs w:val="28"/>
          <w:lang w:eastAsia="zh-CN"/>
        </w:rPr>
        <w:t>试验、调试、验收、培训、总结报告、验收资料移交、技术指导和售后服务等内容</w:t>
      </w:r>
      <w:r>
        <w:rPr>
          <w:rFonts w:hint="eastAsia" w:ascii="仿宋" w:hAnsi="仿宋" w:eastAsia="仿宋" w:cs="仿宋"/>
          <w:sz w:val="28"/>
          <w:szCs w:val="28"/>
        </w:rPr>
        <w:t>。</w:t>
      </w:r>
    </w:p>
    <w:p w14:paraId="6A7FCF6B">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1.2</w:t>
      </w:r>
      <w:r>
        <w:rPr>
          <w:rFonts w:hint="eastAsia" w:ascii="仿宋" w:hAnsi="仿宋" w:eastAsia="仿宋" w:cs="仿宋"/>
          <w:sz w:val="28"/>
          <w:szCs w:val="28"/>
        </w:rPr>
        <w:t>本技术规范提出的是最低限度的技术要求，并未对所有技术细节做出规定，也未充分引述有关标准和规范的条文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投标方</w:t>
      </w:r>
      <w:r>
        <w:rPr>
          <w:rFonts w:hint="eastAsia" w:ascii="仿宋" w:hAnsi="仿宋" w:eastAsia="仿宋" w:cs="仿宋"/>
          <w:sz w:val="28"/>
          <w:szCs w:val="28"/>
        </w:rPr>
        <w:t>应保证为本项</w:t>
      </w:r>
      <w:r>
        <w:rPr>
          <w:rFonts w:hint="eastAsia" w:ascii="仿宋" w:hAnsi="仿宋" w:eastAsia="仿宋" w:cs="仿宋"/>
          <w:sz w:val="28"/>
          <w:szCs w:val="28"/>
          <w:lang w:val="en-US" w:eastAsia="zh-CN"/>
        </w:rPr>
        <w:t>目</w:t>
      </w:r>
      <w:r>
        <w:rPr>
          <w:rFonts w:hint="eastAsia" w:ascii="仿宋" w:hAnsi="仿宋" w:eastAsia="仿宋" w:cs="仿宋"/>
          <w:sz w:val="28"/>
          <w:szCs w:val="28"/>
        </w:rPr>
        <w:t>提供符合各种工业标准和技术规范的优质产品，</w:t>
      </w:r>
      <w:r>
        <w:rPr>
          <w:rFonts w:hint="eastAsia" w:ascii="仿宋" w:hAnsi="仿宋" w:eastAsia="仿宋" w:cs="仿宋"/>
          <w:sz w:val="28"/>
          <w:szCs w:val="28"/>
          <w:lang w:val="en-US" w:eastAsia="zh-CN"/>
        </w:rPr>
        <w:t>产品</w:t>
      </w:r>
      <w:r>
        <w:rPr>
          <w:rFonts w:hint="eastAsia" w:ascii="仿宋" w:hAnsi="仿宋" w:eastAsia="仿宋" w:cs="仿宋"/>
          <w:sz w:val="28"/>
          <w:szCs w:val="28"/>
        </w:rPr>
        <w:t>总体应满足</w:t>
      </w:r>
      <w:r>
        <w:rPr>
          <w:rFonts w:hint="eastAsia" w:ascii="仿宋" w:hAnsi="仿宋" w:eastAsia="仿宋" w:cs="仿宋"/>
          <w:sz w:val="28"/>
          <w:szCs w:val="28"/>
          <w:lang w:val="en-US" w:eastAsia="zh-CN"/>
        </w:rPr>
        <w:t>且不低于原有中速磨煤机动静环</w:t>
      </w:r>
      <w:r>
        <w:rPr>
          <w:rFonts w:hint="eastAsia" w:ascii="仿宋" w:hAnsi="仿宋" w:eastAsia="仿宋" w:cs="仿宋"/>
          <w:sz w:val="28"/>
          <w:szCs w:val="28"/>
        </w:rPr>
        <w:t>的要求</w:t>
      </w:r>
      <w:r>
        <w:rPr>
          <w:rFonts w:hint="eastAsia" w:ascii="仿宋" w:hAnsi="仿宋" w:eastAsia="仿宋" w:cs="仿宋"/>
          <w:sz w:val="28"/>
          <w:szCs w:val="28"/>
          <w:lang w:eastAsia="zh-CN"/>
        </w:rPr>
        <w:t>；必须满足国家关于项目的质量、安全、工业卫生、劳动保护、文明施工、环保、消防等强制性标准。</w:t>
      </w:r>
    </w:p>
    <w:p w14:paraId="08E25505">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宋体" w:hAnsi="宋体" w:eastAsia="宋体" w:cs="宋体"/>
        </w:rPr>
      </w:pPr>
      <w:r>
        <w:rPr>
          <w:rFonts w:hint="eastAsia" w:ascii="仿宋" w:hAnsi="仿宋" w:eastAsia="仿宋" w:cs="仿宋"/>
          <w:sz w:val="28"/>
          <w:szCs w:val="28"/>
          <w:lang w:val="en-US" w:eastAsia="zh-CN"/>
        </w:rPr>
        <w:t>1.3本技术规范所列的技术要求与所列的标准或与投标方所执行的标准不一致时，均按较高标准执行。</w:t>
      </w:r>
    </w:p>
    <w:p w14:paraId="1AB0826C">
      <w:pPr>
        <w:keepNext w:val="0"/>
        <w:keepLines w:val="0"/>
        <w:pageBreakBefore w:val="0"/>
        <w:widowControl w:val="0"/>
        <w:numPr>
          <w:ilvl w:val="0"/>
          <w:numId w:val="0"/>
        </w:numPr>
        <w:kinsoku/>
        <w:wordWrap/>
        <w:overflowPunct/>
        <w:topLinePunct w:val="0"/>
        <w:autoSpaceDE/>
        <w:autoSpaceDN/>
        <w:bidi w:val="0"/>
        <w:spacing w:line="360" w:lineRule="auto"/>
        <w:ind w:firstLine="210" w:firstLineChars="100"/>
        <w:textAlignment w:val="auto"/>
        <w:rPr>
          <w:rFonts w:hint="eastAsia" w:ascii="宋体" w:hAnsi="宋体" w:eastAsia="宋体" w:cs="宋体"/>
          <w:szCs w:val="22"/>
        </w:rPr>
      </w:pPr>
      <w:r>
        <w:rPr>
          <w:rFonts w:hint="eastAsia" w:ascii="宋体" w:hAnsi="宋体" w:eastAsia="宋体" w:cs="宋体"/>
          <w:szCs w:val="22"/>
        </w:rPr>
        <w:t>1.</w:t>
      </w:r>
      <w:r>
        <w:rPr>
          <w:rFonts w:hint="eastAsia" w:ascii="宋体" w:hAnsi="宋体" w:eastAsia="宋体" w:cs="宋体"/>
          <w:szCs w:val="22"/>
          <w:lang w:val="en-US" w:eastAsia="zh-CN"/>
        </w:rPr>
        <w:t>4</w:t>
      </w:r>
      <w:r>
        <w:rPr>
          <w:rFonts w:hint="eastAsia" w:ascii="仿宋" w:hAnsi="仿宋" w:eastAsia="仿宋" w:cs="仿宋"/>
          <w:sz w:val="28"/>
          <w:szCs w:val="28"/>
          <w:lang w:eastAsia="zh-CN"/>
        </w:rPr>
        <w:t>从签订合同之后至</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方开始施工/制造之日的这段时期内，</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方有权提出因规范、标准和规程发生变化而产生的一些补充要求，合同价格不变。</w:t>
      </w:r>
    </w:p>
    <w:p w14:paraId="6BEDFCF1">
      <w:pPr>
        <w:keepNext w:val="0"/>
        <w:keepLines w:val="0"/>
        <w:pageBreakBefore w:val="0"/>
        <w:widowControl w:val="0"/>
        <w:numPr>
          <w:ilvl w:val="0"/>
          <w:numId w:val="0"/>
        </w:numPr>
        <w:kinsoku/>
        <w:wordWrap/>
        <w:overflowPunct/>
        <w:topLinePunct w:val="0"/>
        <w:autoSpaceDE/>
        <w:autoSpaceDN/>
        <w:bidi w:val="0"/>
        <w:spacing w:line="360" w:lineRule="auto"/>
        <w:ind w:firstLine="210" w:firstLineChars="100"/>
        <w:textAlignment w:val="auto"/>
        <w:rPr>
          <w:rFonts w:hint="eastAsia" w:ascii="仿宋" w:hAnsi="仿宋" w:eastAsia="仿宋" w:cs="仿宋"/>
          <w:sz w:val="28"/>
          <w:szCs w:val="28"/>
          <w:lang w:eastAsia="zh-CN"/>
        </w:rPr>
      </w:pPr>
      <w:r>
        <w:rPr>
          <w:rFonts w:hint="eastAsia" w:ascii="宋体" w:hAnsi="宋体" w:eastAsia="宋体" w:cs="宋体"/>
        </w:rPr>
        <w:t>1.</w:t>
      </w:r>
      <w:r>
        <w:rPr>
          <w:rFonts w:hint="eastAsia" w:ascii="宋体" w:hAnsi="宋体" w:eastAsia="宋体" w:cs="宋体"/>
          <w:lang w:val="en-US" w:eastAsia="zh-CN"/>
        </w:rPr>
        <w:t>5</w:t>
      </w:r>
      <w:r>
        <w:rPr>
          <w:rFonts w:hint="eastAsia" w:ascii="仿宋" w:hAnsi="仿宋" w:eastAsia="仿宋" w:cs="仿宋"/>
          <w:sz w:val="28"/>
          <w:szCs w:val="28"/>
          <w:lang w:eastAsia="zh-CN"/>
        </w:rPr>
        <w:t>本工程涉及到工程范围外的设备、构建筑物等临时拆除或造成破损，由</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方负责恢复至原有状态。涉及有可能破坏工程范围外的设备、构建筑物等</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方必须事先采取经</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方同意的必要措施进行监测和保护。</w:t>
      </w:r>
    </w:p>
    <w:p w14:paraId="253BDF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0" w:firstLineChars="100"/>
        <w:textAlignment w:val="auto"/>
        <w:rPr>
          <w:rFonts w:hint="eastAsia" w:ascii="宋体" w:hAnsi="宋体"/>
          <w:sz w:val="24"/>
        </w:rPr>
      </w:pPr>
      <w:r>
        <w:rPr>
          <w:rFonts w:hint="eastAsia" w:ascii="宋体" w:hAnsi="宋体" w:eastAsia="宋体" w:cs="宋体"/>
          <w:szCs w:val="22"/>
          <w:u w:val="none"/>
        </w:rPr>
        <w:t>1.</w:t>
      </w:r>
      <w:r>
        <w:rPr>
          <w:rFonts w:hint="eastAsia" w:ascii="宋体" w:hAnsi="宋体" w:eastAsia="宋体" w:cs="宋体"/>
          <w:szCs w:val="22"/>
          <w:u w:val="none"/>
          <w:lang w:val="en-US" w:eastAsia="zh-CN"/>
        </w:rPr>
        <w:t>6</w:t>
      </w:r>
      <w:r>
        <w:rPr>
          <w:rFonts w:hint="eastAsia" w:ascii="仿宋" w:hAnsi="仿宋" w:eastAsia="仿宋" w:cs="仿宋"/>
          <w:sz w:val="28"/>
          <w:szCs w:val="28"/>
        </w:rPr>
        <w:t>本项目涉及到的</w:t>
      </w:r>
      <w:r>
        <w:rPr>
          <w:rFonts w:hint="eastAsia" w:ascii="仿宋" w:hAnsi="仿宋" w:eastAsia="仿宋" w:cs="仿宋"/>
          <w:sz w:val="28"/>
          <w:szCs w:val="28"/>
          <w:lang w:eastAsia="zh-CN"/>
        </w:rPr>
        <w:t>知识产权</w:t>
      </w:r>
      <w:r>
        <w:rPr>
          <w:rFonts w:hint="eastAsia" w:ascii="仿宋" w:hAnsi="仿宋" w:eastAsia="仿宋" w:cs="仿宋"/>
          <w:sz w:val="28"/>
          <w:szCs w:val="28"/>
        </w:rPr>
        <w:t>费用均已包含在报价中</w:t>
      </w:r>
      <w:r>
        <w:rPr>
          <w:rFonts w:hint="eastAsia" w:ascii="仿宋" w:hAnsi="仿宋" w:eastAsia="仿宋" w:cs="仿宋"/>
          <w:sz w:val="28"/>
          <w:szCs w:val="28"/>
          <w:lang w:val="en-US" w:eastAsia="zh-CN"/>
        </w:rPr>
        <w:t>，因知识产权产生的纠纷由投标方自行承担或解决，招标方不承担相应责任。</w:t>
      </w:r>
      <w:r>
        <w:rPr>
          <w:rFonts w:hint="eastAsia" w:ascii="宋体" w:hAnsi="宋体"/>
          <w:sz w:val="24"/>
        </w:rPr>
        <w:t xml:space="preserve"> </w:t>
      </w:r>
    </w:p>
    <w:p w14:paraId="41A6CF4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0" w:firstLineChars="100"/>
        <w:textAlignment w:val="auto"/>
        <w:rPr>
          <w:rFonts w:hint="eastAsia" w:ascii="仿宋" w:hAnsi="仿宋" w:eastAsia="仿宋" w:cs="仿宋"/>
          <w:sz w:val="28"/>
          <w:szCs w:val="28"/>
          <w:lang w:eastAsia="zh-CN"/>
        </w:rPr>
      </w:pPr>
      <w:r>
        <w:rPr>
          <w:rFonts w:hint="eastAsia" w:ascii="宋体" w:hAnsi="宋体" w:eastAsia="宋体" w:cs="宋体"/>
        </w:rPr>
        <w:t>1.</w:t>
      </w:r>
      <w:r>
        <w:rPr>
          <w:rFonts w:hint="eastAsia" w:ascii="宋体" w:hAnsi="宋体" w:eastAsia="宋体" w:cs="宋体"/>
          <w:lang w:val="en-US" w:eastAsia="zh-CN"/>
        </w:rPr>
        <w:t>7</w:t>
      </w:r>
      <w:r>
        <w:rPr>
          <w:rFonts w:hint="eastAsia" w:ascii="仿宋" w:hAnsi="仿宋" w:eastAsia="仿宋" w:cs="仿宋"/>
          <w:sz w:val="28"/>
          <w:szCs w:val="28"/>
          <w:lang w:val="en-US" w:eastAsia="zh-CN"/>
        </w:rPr>
        <w:t>投标</w:t>
      </w:r>
      <w:r>
        <w:rPr>
          <w:rFonts w:hint="eastAsia" w:ascii="仿宋" w:hAnsi="仿宋" w:eastAsia="仿宋" w:cs="仿宋"/>
          <w:sz w:val="28"/>
          <w:szCs w:val="28"/>
        </w:rPr>
        <w:t>方对整个</w:t>
      </w:r>
      <w:r>
        <w:rPr>
          <w:rFonts w:hint="eastAsia" w:ascii="仿宋" w:hAnsi="仿宋" w:eastAsia="仿宋" w:cs="仿宋"/>
          <w:sz w:val="28"/>
          <w:szCs w:val="28"/>
          <w:lang w:val="en-US" w:eastAsia="zh-CN"/>
        </w:rPr>
        <w:t>原煤仓分仓改造</w:t>
      </w:r>
      <w:r>
        <w:rPr>
          <w:rFonts w:hint="eastAsia" w:ascii="仿宋" w:hAnsi="仿宋" w:eastAsia="仿宋" w:cs="仿宋"/>
          <w:sz w:val="28"/>
          <w:szCs w:val="28"/>
        </w:rPr>
        <w:t>的设计、加工、安装、调试等全过程负责</w:t>
      </w:r>
      <w:r>
        <w:rPr>
          <w:rFonts w:hint="eastAsia" w:ascii="仿宋" w:hAnsi="仿宋" w:eastAsia="仿宋" w:cs="仿宋"/>
          <w:sz w:val="28"/>
          <w:szCs w:val="28"/>
          <w:lang w:eastAsia="zh-CN"/>
        </w:rPr>
        <w:t>；即使获得</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方认可，亦不能解除</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方在本项目下的责任和义务。</w:t>
      </w:r>
    </w:p>
    <w:p w14:paraId="33E966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80"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1.8投标</w:t>
      </w:r>
      <w:r>
        <w:rPr>
          <w:rFonts w:hint="eastAsia" w:ascii="仿宋" w:hAnsi="仿宋" w:eastAsia="仿宋" w:cs="仿宋"/>
          <w:sz w:val="28"/>
          <w:szCs w:val="28"/>
          <w:lang w:eastAsia="zh-CN"/>
        </w:rPr>
        <w:t>方必须执行本规范书所列标准。如与</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方采用的标准有矛盾时，按较严格标准执行，并在</w:t>
      </w:r>
      <w:r>
        <w:rPr>
          <w:rFonts w:hint="eastAsia" w:ascii="仿宋" w:hAnsi="仿宋" w:eastAsia="仿宋" w:cs="仿宋"/>
          <w:sz w:val="28"/>
          <w:szCs w:val="28"/>
          <w:lang w:val="en-US" w:eastAsia="zh-CN"/>
        </w:rPr>
        <w:t>技术协议</w:t>
      </w:r>
      <w:r>
        <w:rPr>
          <w:rFonts w:hint="eastAsia" w:ascii="仿宋" w:hAnsi="仿宋" w:eastAsia="仿宋" w:cs="仿宋"/>
          <w:sz w:val="28"/>
          <w:szCs w:val="28"/>
          <w:lang w:eastAsia="zh-CN"/>
        </w:rPr>
        <w:t>中予以说明，如果</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方在施工、系统设计和设备设计制造中采用的标准不在本规范书所列范围内，该标准应书面提供给</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方认可。</w:t>
      </w:r>
    </w:p>
    <w:p w14:paraId="158C6409">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1.9</w:t>
      </w:r>
      <w:r>
        <w:rPr>
          <w:rFonts w:hint="eastAsia" w:ascii="仿宋" w:hAnsi="仿宋" w:eastAsia="仿宋" w:cs="仿宋"/>
          <w:sz w:val="28"/>
          <w:szCs w:val="28"/>
          <w:lang w:eastAsia="zh-CN"/>
        </w:rPr>
        <w:t>本工程验收由</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方组织验收，直至通过，</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w:t>
      </w:r>
      <w:r>
        <w:rPr>
          <w:rFonts w:hint="eastAsia" w:ascii="仿宋" w:hAnsi="仿宋" w:eastAsia="仿宋" w:cs="仿宋"/>
          <w:sz w:val="28"/>
          <w:szCs w:val="28"/>
          <w:lang w:val="en-US" w:eastAsia="zh-CN"/>
        </w:rPr>
        <w:t>应</w:t>
      </w:r>
      <w:r>
        <w:rPr>
          <w:rFonts w:hint="eastAsia" w:ascii="仿宋" w:hAnsi="仿宋" w:eastAsia="仿宋" w:cs="仿宋"/>
          <w:sz w:val="28"/>
          <w:szCs w:val="28"/>
          <w:lang w:eastAsia="zh-CN"/>
        </w:rPr>
        <w:t>配合验收。</w:t>
      </w:r>
    </w:p>
    <w:p w14:paraId="72158ABC">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 xml:space="preserve"> 本工程</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方须按照洛阳万基宏远电力有限公司安全文明生产相关要求进行安全文明施工。</w:t>
      </w:r>
    </w:p>
    <w:p w14:paraId="1BC73AA4">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 xml:space="preserve"> 本工程</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须为所有施工人员购买工伤保险或赔付金额大于100万（或保险金额为不低于上一年全国城镇具名人均可支配收入的30倍）的意外伤害保险，同时承担高风险作业的人员还必须增加雇主责任险，引起的任何纠纷等责任由</w:t>
      </w:r>
      <w:r>
        <w:rPr>
          <w:rFonts w:hint="eastAsia" w:ascii="仿宋" w:hAnsi="仿宋" w:eastAsia="仿宋" w:cs="仿宋"/>
          <w:sz w:val="28"/>
          <w:szCs w:val="28"/>
          <w:lang w:val="en-US" w:eastAsia="zh-CN"/>
        </w:rPr>
        <w:t>投标方</w:t>
      </w:r>
      <w:r>
        <w:rPr>
          <w:rFonts w:hint="eastAsia" w:ascii="仿宋" w:hAnsi="仿宋" w:eastAsia="仿宋" w:cs="仿宋"/>
          <w:sz w:val="28"/>
          <w:szCs w:val="28"/>
          <w:lang w:eastAsia="zh-CN"/>
        </w:rPr>
        <w:t>自行承担。</w:t>
      </w:r>
    </w:p>
    <w:p w14:paraId="283395D8">
      <w:pPr>
        <w:pStyle w:val="2"/>
        <w:numPr>
          <w:ilvl w:val="0"/>
          <w:numId w:val="0"/>
        </w:numPr>
        <w:spacing w:before="0" w:after="0" w:line="360" w:lineRule="auto"/>
        <w:ind w:leftChars="0"/>
        <w:jc w:val="left"/>
        <w:rPr>
          <w:rFonts w:hint="eastAsia" w:ascii="黑体" w:hAnsi="黑体" w:eastAsia="黑体" w:cs="黑体"/>
          <w:b w:val="0"/>
          <w:bCs w:val="0"/>
          <w:sz w:val="28"/>
          <w:szCs w:val="28"/>
          <w:highlight w:val="none"/>
        </w:rPr>
      </w:pPr>
      <w:bookmarkStart w:id="35" w:name="_Toc31868"/>
      <w:bookmarkStart w:id="36" w:name="_Toc6827"/>
      <w:bookmarkStart w:id="37" w:name="_Toc11702"/>
      <w:bookmarkStart w:id="38" w:name="_Toc25363"/>
      <w:bookmarkStart w:id="39" w:name="_Toc17876"/>
      <w:bookmarkStart w:id="40" w:name="_Toc16123"/>
      <w:bookmarkStart w:id="41" w:name="_Toc17157"/>
      <w:bookmarkStart w:id="42" w:name="_Toc27095_WPSOffice_Level1"/>
      <w:bookmarkStart w:id="43" w:name="_Toc26558"/>
      <w:bookmarkStart w:id="44" w:name="_Toc30074"/>
      <w:bookmarkStart w:id="45" w:name="_Toc13840_WPSOffice_Level1"/>
      <w:bookmarkStart w:id="46" w:name="_Toc7190"/>
      <w:bookmarkStart w:id="47" w:name="_Toc27569"/>
      <w:bookmarkStart w:id="48" w:name="_Toc4457"/>
      <w:bookmarkStart w:id="49" w:name="_Toc30573"/>
      <w:bookmarkStart w:id="50" w:name="_Toc30873"/>
      <w:bookmarkStart w:id="51" w:name="_Toc10204"/>
      <w:bookmarkStart w:id="52" w:name="_Toc18406"/>
      <w:bookmarkStart w:id="53" w:name="_Toc11598"/>
      <w:bookmarkStart w:id="54" w:name="_Toc14456"/>
      <w:bookmarkStart w:id="55" w:name="_Toc12717"/>
      <w:bookmarkStart w:id="56" w:name="_Toc14028"/>
      <w:bookmarkStart w:id="57" w:name="_Toc10894"/>
      <w:bookmarkStart w:id="58" w:name="_Toc18319"/>
      <w:bookmarkStart w:id="59" w:name="_Toc1802"/>
      <w:bookmarkStart w:id="60" w:name="_Toc21566"/>
      <w:bookmarkStart w:id="61" w:name="_Toc20387"/>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项目概况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54A3238">
      <w:pPr>
        <w:keepNext w:val="0"/>
        <w:keepLines w:val="0"/>
        <w:pageBreakBefore w:val="0"/>
        <w:widowControl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洛阳万基宏远电力有限公司#2机组锅炉采用哈尔滨锅炉厂有限责任公司生产的高效超超临界参数变压运行直流炉、单炉膛、一次中间再热、前后墙对冲燃烧方式、平衡通风、固态排渣、露天岛式布置、全钢构架悬吊结构Π型锅炉，</w:t>
      </w:r>
      <w:r>
        <w:rPr>
          <w:rFonts w:hint="eastAsia"/>
          <w:color w:val="000000"/>
          <w:szCs w:val="20"/>
          <w:lang w:eastAsia="zh-CN"/>
        </w:rPr>
        <w:t>燃烧器共设置6层煤粉喷嘴；</w:t>
      </w:r>
      <w:r>
        <w:rPr>
          <w:rFonts w:hint="eastAsia" w:ascii="仿宋" w:hAnsi="仿宋" w:eastAsia="仿宋" w:cs="仿宋"/>
          <w:sz w:val="28"/>
          <w:szCs w:val="28"/>
          <w:lang w:val="en-US" w:eastAsia="zh-CN"/>
        </w:rPr>
        <w:t>制粉系统采用北京电力设备总厂生产的ZGM113N-II型中速磨煤机正压直吹式系统，每台炉配 6台中速磨煤机，</w:t>
      </w:r>
      <w:r>
        <w:rPr>
          <w:rFonts w:hint="eastAsia"/>
          <w:color w:val="000000"/>
          <w:szCs w:val="20"/>
          <w:lang w:eastAsia="zh-CN"/>
        </w:rPr>
        <w:t>在BMCR工况下</w:t>
      </w:r>
      <w:r>
        <w:rPr>
          <w:rFonts w:hint="eastAsia" w:ascii="仿宋" w:hAnsi="仿宋" w:eastAsia="仿宋" w:cs="仿宋"/>
          <w:sz w:val="28"/>
          <w:szCs w:val="28"/>
          <w:lang w:val="en-US" w:eastAsia="zh-CN"/>
        </w:rPr>
        <w:t>5台运行，1台备用（每台磨煤机带单侧一层燃烧器）。</w:t>
      </w:r>
    </w:p>
    <w:p w14:paraId="256FE8D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台锅炉设置6个原煤仓，每个原煤仓容积655.92m³，设计储存煤量约558t，原煤仓高19m。每个原煤仓下锥斗段配置8台空气炮，且原煤仓下口处配置1台旋转清堵机，断煤时可程控或就地手动投入，消除断煤；原煤仓侧煤仓布置，即#2炉6个原煤仓沿锅炉纵向并列布置，在原煤仓顶部煤仓间设置#10A、B、C三条皮带，</w:t>
      </w:r>
      <w:r>
        <w:rPr>
          <w:rFonts w:hint="eastAsia" w:ascii="仿宋" w:hAnsi="仿宋" w:eastAsia="仿宋" w:cs="仿宋"/>
          <w:sz w:val="28"/>
          <w:szCs w:val="28"/>
          <w:highlight w:val="none"/>
          <w:lang w:val="en-US" w:eastAsia="zh-CN"/>
        </w:rPr>
        <w:t>10C皮带</w:t>
      </w:r>
      <w:r>
        <w:rPr>
          <w:rFonts w:hint="eastAsia" w:ascii="仿宋" w:hAnsi="仿宋" w:eastAsia="仿宋" w:cs="仿宋"/>
          <w:sz w:val="28"/>
          <w:szCs w:val="28"/>
          <w:lang w:val="en-US" w:eastAsia="zh-CN"/>
        </w:rPr>
        <w:t>可给#1炉6个原煤仓上煤，配置双侧犁煤器；10B皮带可给#1、#2炉6个原煤仓分别上煤，</w:t>
      </w:r>
      <w:r>
        <w:rPr>
          <w:rFonts w:hint="eastAsia" w:ascii="仿宋" w:hAnsi="仿宋" w:eastAsia="仿宋" w:cs="仿宋"/>
          <w:sz w:val="28"/>
          <w:szCs w:val="28"/>
          <w:highlight w:val="none"/>
          <w:lang w:val="en-US" w:eastAsia="zh-CN"/>
        </w:rPr>
        <w:t>配置单侧可切换式犁煤器；10A皮</w:t>
      </w:r>
      <w:r>
        <w:rPr>
          <w:rFonts w:hint="eastAsia" w:ascii="仿宋" w:hAnsi="仿宋" w:eastAsia="仿宋" w:cs="仿宋"/>
          <w:sz w:val="28"/>
          <w:szCs w:val="28"/>
          <w:lang w:val="en-US" w:eastAsia="zh-CN"/>
        </w:rPr>
        <w:t>带可给#2炉6个原煤仓上煤，配置双</w:t>
      </w:r>
      <w:r>
        <w:rPr>
          <w:rFonts w:hint="eastAsia" w:ascii="仿宋" w:hAnsi="仿宋" w:eastAsia="仿宋" w:cs="仿宋"/>
          <w:sz w:val="28"/>
          <w:szCs w:val="28"/>
          <w:highlight w:val="none"/>
          <w:lang w:val="en-US" w:eastAsia="zh-CN"/>
        </w:rPr>
        <w:t>侧</w:t>
      </w:r>
      <w:r>
        <w:rPr>
          <w:rFonts w:hint="eastAsia" w:ascii="仿宋" w:hAnsi="仿宋" w:eastAsia="仿宋" w:cs="仿宋"/>
          <w:sz w:val="28"/>
          <w:szCs w:val="28"/>
          <w:lang w:val="en-US" w:eastAsia="zh-CN"/>
        </w:rPr>
        <w:t>犁煤器。</w:t>
      </w:r>
    </w:p>
    <w:p w14:paraId="4340533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目前我公司</w:t>
      </w:r>
      <w:r>
        <w:rPr>
          <w:rFonts w:hint="eastAsia"/>
          <w:color w:val="000000" w:themeColor="text1"/>
          <w:kern w:val="2"/>
          <w:lang w:val="en-US" w:eastAsia="zh-CN"/>
          <w14:textFill>
            <w14:solidFill>
              <w14:schemeClr w14:val="tx1"/>
            </w14:solidFill>
          </w14:textFill>
        </w:rPr>
        <w:t>受</w:t>
      </w:r>
      <w:r>
        <w:rPr>
          <w:rFonts w:hint="eastAsia"/>
          <w:color w:val="000000" w:themeColor="text1"/>
          <w:kern w:val="2"/>
          <w:lang w:eastAsia="zh-CN"/>
          <w14:textFill>
            <w14:solidFill>
              <w14:schemeClr w14:val="tx1"/>
            </w14:solidFill>
          </w14:textFill>
        </w:rPr>
        <w:t>当前电网新能源装机持续增长，火电机组已由传统主力发电向深度调峰、快速响应、灵活保供转型，机组频繁参与低负荷运行、变负荷调峰，对燃料供应稳定性、煤种适配性提出更高要求。</w:t>
      </w:r>
    </w:p>
    <w:p w14:paraId="33FFF40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 xml:space="preserve">同时，市场煤炭资源复杂多变，煤质波动大、热值差异显著，原有单仓单一煤种储存方式已无法满足机组灵活运行需求。低负荷阶段难以采用稳燃性能优的煤种保障燃烧安全，高负荷阶段无法及时切换高热值煤种满足顶峰出力，易造成负荷响应迟缓、燃烧不稳定、煤耗偏高、环保参数波动等问题。 </w:t>
      </w:r>
    </w:p>
    <w:p w14:paraId="40DF1CA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color w:val="000000" w:themeColor="text1"/>
          <w:kern w:val="2"/>
          <w:highlight w:val="none"/>
          <w:lang w:val="en-US" w:eastAsia="zh-CN"/>
          <w14:textFill>
            <w14:solidFill>
              <w14:schemeClr w14:val="tx1"/>
            </w14:solidFill>
          </w14:textFill>
        </w:rPr>
      </w:pPr>
      <w:r>
        <w:rPr>
          <w:rFonts w:hint="eastAsia"/>
          <w:color w:val="000000" w:themeColor="text1"/>
          <w:kern w:val="2"/>
          <w:lang w:eastAsia="zh-CN"/>
          <w14:textFill>
            <w14:solidFill>
              <w14:schemeClr w14:val="tx1"/>
            </w14:solidFill>
          </w14:textFill>
        </w:rPr>
        <w:t>为适应电网深度调峰新形势，实现不同煤种分仓储存、精准配比、快速切换，优化燃料结构，降低运行成本，提升机组调峰能力与运行可靠性，保障锅炉长期安全经济稳定运行，</w:t>
      </w:r>
      <w:r>
        <w:rPr>
          <w:rFonts w:hint="eastAsia"/>
          <w:color w:val="000000" w:themeColor="text1"/>
          <w:kern w:val="2"/>
          <w:lang w:val="en-US" w:eastAsia="zh-CN"/>
          <w14:textFill>
            <w14:solidFill>
              <w14:schemeClr w14:val="tx1"/>
            </w14:solidFill>
          </w14:textFill>
        </w:rPr>
        <w:t>公司决定</w:t>
      </w:r>
      <w:r>
        <w:rPr>
          <w:rFonts w:hint="eastAsia"/>
          <w:color w:val="000000" w:themeColor="text1"/>
          <w:kern w:val="2"/>
          <w:lang w:eastAsia="zh-CN"/>
          <w14:textFill>
            <w14:solidFill>
              <w14:schemeClr w14:val="tx1"/>
            </w14:solidFill>
          </w14:textFill>
        </w:rPr>
        <w:t>实施原煤仓分仓改造，实现两种不同煤源的快速切换，</w:t>
      </w:r>
      <w:r>
        <w:rPr>
          <w:rFonts w:hint="eastAsia"/>
          <w:b/>
          <w:bCs/>
          <w:color w:val="000000" w:themeColor="text1"/>
          <w:kern w:val="2"/>
          <w:lang w:val="en-US" w:eastAsia="zh-CN"/>
          <w14:textFill>
            <w14:solidFill>
              <w14:schemeClr w14:val="tx1"/>
            </w14:solidFill>
          </w14:textFill>
        </w:rPr>
        <w:t>本次拟对#2机组锅炉B、E原煤仓四六分仓隔断改造</w:t>
      </w:r>
      <w:r>
        <w:rPr>
          <w:rFonts w:hint="eastAsia"/>
          <w:color w:val="000000" w:themeColor="text1"/>
          <w:kern w:val="2"/>
          <w:lang w:val="en-US" w:eastAsia="zh-CN"/>
          <w14:textFill>
            <w14:solidFill>
              <w14:schemeClr w14:val="tx1"/>
            </w14:solidFill>
          </w14:textFill>
        </w:rPr>
        <w:t>，</w:t>
      </w:r>
      <w:r>
        <w:rPr>
          <w:rFonts w:hint="eastAsia"/>
          <w:color w:val="000000" w:themeColor="text1"/>
          <w:kern w:val="2"/>
          <w:lang w:eastAsia="zh-CN"/>
          <w14:textFill>
            <w14:solidFill>
              <w14:schemeClr w14:val="tx1"/>
            </w14:solidFill>
          </w14:textFill>
        </w:rPr>
        <w:t>即原煤仓可以预储</w:t>
      </w:r>
      <w:r>
        <w:rPr>
          <w:rFonts w:hint="eastAsia"/>
          <w:color w:val="000000" w:themeColor="text1"/>
          <w:kern w:val="2"/>
          <w:lang w:val="en-US" w:eastAsia="zh-CN"/>
          <w14:textFill>
            <w14:solidFill>
              <w14:schemeClr w14:val="tx1"/>
            </w14:solidFill>
          </w14:textFill>
        </w:rPr>
        <w:t>两</w:t>
      </w:r>
      <w:r>
        <w:rPr>
          <w:rFonts w:hint="eastAsia"/>
          <w:color w:val="000000" w:themeColor="text1"/>
          <w:kern w:val="2"/>
          <w:lang w:eastAsia="zh-CN"/>
          <w14:textFill>
            <w14:solidFill>
              <w14:schemeClr w14:val="tx1"/>
            </w14:solidFill>
          </w14:textFill>
        </w:rPr>
        <w:t>种不同的煤质，并在隔断后煤仓加装智能型液压插板门，能够实现30-50s内快速开关，切换煤种，响应时间不超过1min，</w:t>
      </w:r>
      <w:r>
        <w:rPr>
          <w:rFonts w:hint="eastAsia"/>
          <w:color w:val="000000" w:themeColor="text1"/>
          <w:kern w:val="2"/>
          <w:highlight w:val="none"/>
          <w:lang w:eastAsia="zh-CN"/>
          <w14:textFill>
            <w14:solidFill>
              <w14:schemeClr w14:val="tx1"/>
            </w14:solidFill>
          </w14:textFill>
        </w:rPr>
        <w:t>同时对</w:t>
      </w:r>
      <w:r>
        <w:rPr>
          <w:rFonts w:hint="eastAsia" w:ascii="仿宋" w:hAnsi="仿宋" w:eastAsia="仿宋" w:cs="仿宋"/>
          <w:color w:val="auto"/>
          <w:sz w:val="28"/>
          <w:szCs w:val="28"/>
          <w:highlight w:val="none"/>
          <w:lang w:val="en-US" w:eastAsia="zh-CN"/>
        </w:rPr>
        <w:t>10A</w:t>
      </w:r>
      <w:r>
        <w:rPr>
          <w:rFonts w:hint="eastAsia"/>
          <w:color w:val="000000" w:themeColor="text1"/>
          <w:kern w:val="2"/>
          <w:highlight w:val="none"/>
          <w:lang w:eastAsia="zh-CN"/>
          <w14:textFill>
            <w14:solidFill>
              <w14:schemeClr w14:val="tx1"/>
            </w14:solidFill>
          </w14:textFill>
        </w:rPr>
        <w:t>输煤皮带</w:t>
      </w:r>
      <w:r>
        <w:rPr>
          <w:rFonts w:hint="eastAsia"/>
          <w:color w:val="000000" w:themeColor="text1"/>
          <w:kern w:val="2"/>
          <w:highlight w:val="none"/>
          <w:lang w:val="en-US" w:eastAsia="zh-CN"/>
          <w14:textFill>
            <w14:solidFill>
              <w14:schemeClr w14:val="tx1"/>
            </w14:solidFill>
          </w14:textFill>
        </w:rPr>
        <w:t>相对应的</w:t>
      </w:r>
      <w:r>
        <w:rPr>
          <w:rFonts w:hint="eastAsia"/>
          <w:color w:val="000000" w:themeColor="text1"/>
          <w:kern w:val="2"/>
          <w:highlight w:val="none"/>
          <w:lang w:eastAsia="zh-CN"/>
          <w14:textFill>
            <w14:solidFill>
              <w14:schemeClr w14:val="tx1"/>
            </w14:solidFill>
          </w14:textFill>
        </w:rPr>
        <w:t>犁煤器进行改造，能够实现单皮带同时向</w:t>
      </w:r>
      <w:r>
        <w:rPr>
          <w:rFonts w:hint="eastAsia"/>
          <w:color w:val="000000" w:themeColor="text1"/>
          <w:kern w:val="2"/>
          <w:highlight w:val="none"/>
          <w:lang w:val="en-US" w:eastAsia="zh-CN"/>
          <w14:textFill>
            <w14:solidFill>
              <w14:schemeClr w14:val="tx1"/>
            </w14:solidFill>
          </w14:textFill>
        </w:rPr>
        <w:t>四六</w:t>
      </w:r>
      <w:r>
        <w:rPr>
          <w:rFonts w:hint="eastAsia"/>
          <w:color w:val="000000" w:themeColor="text1"/>
          <w:kern w:val="2"/>
          <w:highlight w:val="none"/>
          <w:lang w:eastAsia="zh-CN"/>
          <w14:textFill>
            <w14:solidFill>
              <w14:schemeClr w14:val="tx1"/>
            </w14:solidFill>
          </w14:textFill>
        </w:rPr>
        <w:t>分仓中的任何一个仓上煤。</w:t>
      </w:r>
    </w:p>
    <w:p w14:paraId="0C771FBA">
      <w:pPr>
        <w:pStyle w:val="2"/>
        <w:numPr>
          <w:ilvl w:val="0"/>
          <w:numId w:val="0"/>
        </w:numPr>
        <w:spacing w:before="0" w:after="0" w:line="360" w:lineRule="auto"/>
        <w:ind w:leftChars="0"/>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三、技术要求</w:t>
      </w:r>
    </w:p>
    <w:p w14:paraId="4360B20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bookmarkStart w:id="62" w:name="_Toc13433"/>
      <w:bookmarkStart w:id="63" w:name="_Toc7877"/>
      <w:bookmarkStart w:id="64" w:name="_Toc31720"/>
      <w:bookmarkStart w:id="65" w:name="_Toc30792_WPSOffice_Level1"/>
      <w:bookmarkStart w:id="66" w:name="_Toc28243"/>
      <w:bookmarkStart w:id="67" w:name="_Toc10710"/>
      <w:bookmarkStart w:id="68" w:name="_Toc10941"/>
      <w:bookmarkStart w:id="69" w:name="_Toc26112"/>
      <w:bookmarkStart w:id="70" w:name="_Toc1006"/>
      <w:bookmarkStart w:id="71" w:name="_Toc26303"/>
      <w:bookmarkStart w:id="72" w:name="_Toc22242"/>
      <w:bookmarkStart w:id="73" w:name="_Toc5695"/>
      <w:bookmarkStart w:id="74" w:name="_Toc9358_WPSOffice_Level1"/>
      <w:bookmarkStart w:id="75" w:name="_Toc9392"/>
      <w:bookmarkStart w:id="76" w:name="_Toc4314"/>
      <w:bookmarkStart w:id="77" w:name="_Toc5943"/>
      <w:bookmarkStart w:id="78" w:name="_Toc11841"/>
      <w:bookmarkStart w:id="79" w:name="_Toc6631"/>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.1投标人应遵守本技术协议书要求，提供新增的原煤仓中间隔板、插板门、原煤仓料位测量装置及相关改造的供货、安装、调试等。至少应满足以下技术要求：</w:t>
      </w:r>
    </w:p>
    <w:p w14:paraId="5054875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（1）实现仓内煤质的灵活切换，装置安全、稳定运行。</w:t>
      </w:r>
    </w:p>
    <w:p w14:paraId="64032CC7">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（2）原煤仓载荷校核，要求出具由第三方甲级设计资质单位用模型出的强度载荷计算书。</w:t>
      </w:r>
    </w:p>
    <w:p w14:paraId="48813AB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（3）完成承压、清堵关键工艺：主要包括对插板门附近关键部位进行落料分析和清堵处理，保证其能够安全可靠运行。</w:t>
      </w:r>
    </w:p>
    <w:p w14:paraId="2FA4165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4）原煤仓改造需要的插板门为双向液压插板门，油站设置2套一运一备，且能够DCS操作和就地手动调节，保证热态运行调节灵活、无卡涩、关闭时密封无泄漏。能够实现在小于50s内快速开关；为保证煤流量满足改造要求，分仓下口部位新增液压双向插板门板内径不得小于1800mm。</w:t>
      </w:r>
    </w:p>
    <w:p w14:paraId="1C8560B4">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（5）对于容易损耗、磨损或出现故障并因此影响装置运行性能的所有设备，即使设有备用件，也应易于更换、检修和维护。</w:t>
      </w:r>
    </w:p>
    <w:p w14:paraId="53312A9F">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6</w:t>
      </w:r>
      <w:r>
        <w:rPr>
          <w:rFonts w:hint="eastAsia"/>
          <w:color w:val="000000" w:themeColor="text1"/>
          <w:kern w:val="2"/>
          <w:lang w:eastAsia="zh-CN"/>
          <w14:textFill>
            <w14:solidFill>
              <w14:schemeClr w14:val="tx1"/>
            </w14:solidFill>
          </w14:textFill>
        </w:rPr>
        <w:t>）原煤仓入炉煤快速切换系统改造要全面充分考虑下煤量，为保证煤流量满足原设计，分仓下口部位内径选择1800mm及以上，不能因改造造成给煤机无法正常给煤情况发生。</w:t>
      </w:r>
    </w:p>
    <w:p w14:paraId="378D8F9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7</w:t>
      </w:r>
      <w:r>
        <w:rPr>
          <w:rFonts w:hint="eastAsia"/>
          <w:color w:val="000000" w:themeColor="text1"/>
          <w:kern w:val="2"/>
          <w:lang w:eastAsia="zh-CN"/>
          <w14:textFill>
            <w14:solidFill>
              <w14:schemeClr w14:val="tx1"/>
            </w14:solidFill>
          </w14:textFill>
        </w:rPr>
        <w:t>）分隔仓隔板采用中间框架加两侧侧板的型式，中间框架选用H型钢</w:t>
      </w:r>
      <w:r>
        <w:rPr>
          <w:rFonts w:hint="eastAsia"/>
          <w:color w:val="000000" w:themeColor="text1"/>
          <w:kern w:val="2"/>
          <w:lang w:val="en-US" w:eastAsia="zh-CN"/>
          <w14:textFill>
            <w14:solidFill>
              <w14:schemeClr w14:val="tx1"/>
            </w14:solidFill>
          </w14:textFill>
        </w:rPr>
        <w:t>,材质</w:t>
      </w:r>
      <w:r>
        <w:rPr>
          <w:rFonts w:hint="eastAsia"/>
          <w:color w:val="000000" w:themeColor="text1"/>
          <w:kern w:val="2"/>
          <w:lang w:eastAsia="zh-CN"/>
          <w14:textFill>
            <w14:solidFill>
              <w14:schemeClr w14:val="tx1"/>
            </w14:solidFill>
          </w14:textFill>
        </w:rPr>
        <w:t>Q</w:t>
      </w:r>
      <w:r>
        <w:rPr>
          <w:rFonts w:hint="eastAsia"/>
          <w:color w:val="000000" w:themeColor="text1"/>
          <w:kern w:val="2"/>
          <w:lang w:val="en-US" w:eastAsia="zh-CN"/>
          <w14:textFill>
            <w14:solidFill>
              <w14:schemeClr w14:val="tx1"/>
            </w14:solidFill>
          </w14:textFill>
        </w:rPr>
        <w:t>34</w:t>
      </w:r>
      <w:r>
        <w:rPr>
          <w:rFonts w:hint="eastAsia"/>
          <w:color w:val="000000" w:themeColor="text1"/>
          <w:kern w:val="2"/>
          <w:lang w:eastAsia="zh-CN"/>
          <w14:textFill>
            <w14:solidFill>
              <w14:schemeClr w14:val="tx1"/>
            </w14:solidFill>
          </w14:textFill>
        </w:rPr>
        <w:t>5</w:t>
      </w:r>
      <w:r>
        <w:rPr>
          <w:rFonts w:hint="eastAsia"/>
          <w:color w:val="000000" w:themeColor="text1"/>
          <w:kern w:val="2"/>
          <w:lang w:val="en-US" w:eastAsia="zh-CN"/>
          <w14:textFill>
            <w14:solidFill>
              <w14:schemeClr w14:val="tx1"/>
            </w14:solidFill>
          </w14:textFill>
        </w:rPr>
        <w:t>B</w:t>
      </w:r>
      <w:r>
        <w:rPr>
          <w:rFonts w:hint="eastAsia"/>
          <w:color w:val="000000" w:themeColor="text1"/>
          <w:kern w:val="2"/>
          <w:lang w:eastAsia="zh-CN"/>
          <w14:textFill>
            <w14:solidFill>
              <w14:schemeClr w14:val="tx1"/>
            </w14:solidFill>
          </w14:textFill>
        </w:rPr>
        <w:t>，两侧分别：</w:t>
      </w:r>
      <w:r>
        <w:rPr>
          <w:rFonts w:hint="eastAsia"/>
          <w:color w:val="000000" w:themeColor="text1"/>
          <w:kern w:val="2"/>
          <w:lang w:val="en-US" w:eastAsia="zh-CN"/>
          <w14:textFill>
            <w14:solidFill>
              <w14:schemeClr w14:val="tx1"/>
            </w14:solidFill>
          </w14:textFill>
        </w:rPr>
        <w:t>上部直筒段</w:t>
      </w:r>
      <w:r>
        <w:rPr>
          <w:rFonts w:hint="eastAsia"/>
          <w:color w:val="000000" w:themeColor="text1"/>
          <w:kern w:val="2"/>
          <w:lang w:eastAsia="zh-CN"/>
          <w14:textFill>
            <w14:solidFill>
              <w14:schemeClr w14:val="tx1"/>
            </w14:solidFill>
          </w14:textFill>
        </w:rPr>
        <w:t>贴焊Q</w:t>
      </w:r>
      <w:r>
        <w:rPr>
          <w:rFonts w:hint="eastAsia"/>
          <w:color w:val="000000" w:themeColor="text1"/>
          <w:kern w:val="2"/>
          <w:lang w:val="en-US" w:eastAsia="zh-CN"/>
          <w14:textFill>
            <w14:solidFill>
              <w14:schemeClr w14:val="tx1"/>
            </w14:solidFill>
          </w14:textFill>
        </w:rPr>
        <w:t>34</w:t>
      </w:r>
      <w:r>
        <w:rPr>
          <w:rFonts w:hint="eastAsia"/>
          <w:color w:val="000000" w:themeColor="text1"/>
          <w:kern w:val="2"/>
          <w:lang w:eastAsia="zh-CN"/>
          <w14:textFill>
            <w14:solidFill>
              <w14:schemeClr w14:val="tx1"/>
            </w14:solidFill>
          </w14:textFill>
        </w:rPr>
        <w:t>5</w:t>
      </w:r>
      <w:r>
        <w:rPr>
          <w:rFonts w:hint="eastAsia"/>
          <w:color w:val="000000" w:themeColor="text1"/>
          <w:kern w:val="2"/>
          <w:lang w:val="en-US" w:eastAsia="zh-CN"/>
          <w14:textFill>
            <w14:solidFill>
              <w14:schemeClr w14:val="tx1"/>
            </w14:solidFill>
          </w14:textFill>
        </w:rPr>
        <w:t>B钢板，厚度12mm</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下部锥斗段贴焊抛光不锈钢复合钢板，材质</w:t>
      </w:r>
      <w:r>
        <w:rPr>
          <w:rFonts w:hint="eastAsia"/>
          <w:color w:val="000000" w:themeColor="text1"/>
          <w:kern w:val="2"/>
          <w:lang w:eastAsia="zh-CN"/>
          <w14:textFill>
            <w14:solidFill>
              <w14:schemeClr w14:val="tx1"/>
            </w14:solidFill>
          </w14:textFill>
        </w:rPr>
        <w:t>Q</w:t>
      </w:r>
      <w:r>
        <w:rPr>
          <w:rFonts w:hint="eastAsia"/>
          <w:color w:val="000000" w:themeColor="text1"/>
          <w:kern w:val="2"/>
          <w:lang w:val="en-US" w:eastAsia="zh-CN"/>
          <w14:textFill>
            <w14:solidFill>
              <w14:schemeClr w14:val="tx1"/>
            </w14:solidFill>
          </w14:textFill>
        </w:rPr>
        <w:t>34</w:t>
      </w:r>
      <w:r>
        <w:rPr>
          <w:rFonts w:hint="eastAsia"/>
          <w:color w:val="000000" w:themeColor="text1"/>
          <w:kern w:val="2"/>
          <w:lang w:eastAsia="zh-CN"/>
          <w14:textFill>
            <w14:solidFill>
              <w14:schemeClr w14:val="tx1"/>
            </w14:solidFill>
          </w14:textFill>
        </w:rPr>
        <w:t>5</w:t>
      </w:r>
      <w:r>
        <w:rPr>
          <w:rFonts w:hint="eastAsia"/>
          <w:color w:val="000000" w:themeColor="text1"/>
          <w:kern w:val="2"/>
          <w:lang w:val="en-US" w:eastAsia="zh-CN"/>
          <w14:textFill>
            <w14:solidFill>
              <w14:schemeClr w14:val="tx1"/>
            </w14:solidFill>
          </w14:textFill>
        </w:rPr>
        <w:t>B</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1Cr13，厚度10</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3mm</w:t>
      </w:r>
      <w:r>
        <w:rPr>
          <w:rFonts w:hint="eastAsia"/>
          <w:color w:val="000000" w:themeColor="text1"/>
          <w:kern w:val="2"/>
          <w:lang w:eastAsia="zh-CN"/>
          <w14:textFill>
            <w14:solidFill>
              <w14:schemeClr w14:val="tx1"/>
            </w14:solidFill>
          </w14:textFill>
        </w:rPr>
        <w:t>；中间框架主体采用横梁与竖梁，并与仓壁之间满焊。要求所有焊缝、角焊缝焊脚高及对焊缝熔深不小于相关连接件较小壁厚。</w:t>
      </w:r>
    </w:p>
    <w:p w14:paraId="576E10A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8</w:t>
      </w:r>
      <w:r>
        <w:rPr>
          <w:rFonts w:hint="eastAsia"/>
          <w:color w:val="000000" w:themeColor="text1"/>
          <w:kern w:val="2"/>
          <w:lang w:eastAsia="zh-CN"/>
          <w14:textFill>
            <w14:solidFill>
              <w14:schemeClr w14:val="tx1"/>
            </w14:solidFill>
          </w14:textFill>
        </w:rPr>
        <w:t>）过渡仓防堵清堵型煤斗线型结构应为优化双曲线，双曲线过渡仓结构应符合煤流运动的特性，有效缓解给煤机的堵塞。过渡仓材质：</w:t>
      </w:r>
      <w:r>
        <w:rPr>
          <w:rFonts w:hint="eastAsia"/>
          <w:color w:val="000000" w:themeColor="text1"/>
          <w:kern w:val="2"/>
          <w:lang w:val="en-US" w:eastAsia="zh-CN"/>
          <w14:textFill>
            <w14:solidFill>
              <w14:schemeClr w14:val="tx1"/>
            </w14:solidFill>
          </w14:textFill>
        </w:rPr>
        <w:t>材质</w:t>
      </w:r>
      <w:r>
        <w:rPr>
          <w:rFonts w:hint="eastAsia"/>
          <w:color w:val="000000" w:themeColor="text1"/>
          <w:kern w:val="2"/>
          <w:lang w:eastAsia="zh-CN"/>
          <w14:textFill>
            <w14:solidFill>
              <w14:schemeClr w14:val="tx1"/>
            </w14:solidFill>
          </w14:textFill>
        </w:rPr>
        <w:t>Q</w:t>
      </w:r>
      <w:r>
        <w:rPr>
          <w:rFonts w:hint="eastAsia"/>
          <w:color w:val="000000" w:themeColor="text1"/>
          <w:kern w:val="2"/>
          <w:lang w:val="en-US" w:eastAsia="zh-CN"/>
          <w14:textFill>
            <w14:solidFill>
              <w14:schemeClr w14:val="tx1"/>
            </w14:solidFill>
          </w14:textFill>
        </w:rPr>
        <w:t>34</w:t>
      </w:r>
      <w:r>
        <w:rPr>
          <w:rFonts w:hint="eastAsia"/>
          <w:color w:val="000000" w:themeColor="text1"/>
          <w:kern w:val="2"/>
          <w:lang w:eastAsia="zh-CN"/>
          <w14:textFill>
            <w14:solidFill>
              <w14:schemeClr w14:val="tx1"/>
            </w14:solidFill>
          </w14:textFill>
        </w:rPr>
        <w:t>5</w:t>
      </w:r>
      <w:r>
        <w:rPr>
          <w:rFonts w:hint="eastAsia"/>
          <w:color w:val="000000" w:themeColor="text1"/>
          <w:kern w:val="2"/>
          <w:lang w:val="en-US" w:eastAsia="zh-CN"/>
          <w14:textFill>
            <w14:solidFill>
              <w14:schemeClr w14:val="tx1"/>
            </w14:solidFill>
          </w14:textFill>
        </w:rPr>
        <w:t>B</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1Cr13，厚度12</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3mm</w:t>
      </w:r>
      <w:r>
        <w:rPr>
          <w:rFonts w:hint="eastAsia"/>
          <w:color w:val="000000" w:themeColor="text1"/>
          <w:kern w:val="2"/>
          <w:lang w:eastAsia="zh-CN"/>
          <w14:textFill>
            <w14:solidFill>
              <w14:schemeClr w14:val="tx1"/>
            </w14:solidFill>
          </w14:textFill>
        </w:rPr>
        <w:t>。</w:t>
      </w:r>
    </w:p>
    <w:p w14:paraId="0A7E0FA2">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9</w:t>
      </w:r>
      <w:r>
        <w:rPr>
          <w:rFonts w:hint="eastAsia"/>
          <w:color w:val="000000" w:themeColor="text1"/>
          <w:kern w:val="2"/>
          <w:lang w:eastAsia="zh-CN"/>
          <w14:textFill>
            <w14:solidFill>
              <w14:schemeClr w14:val="tx1"/>
            </w14:solidFill>
          </w14:textFill>
        </w:rPr>
        <w:t>）分仓改造应满足清堵的空气炮和空气锤，每个原煤仓在液动插板门上方布置8个空气炮（</w:t>
      </w:r>
      <w:r>
        <w:rPr>
          <w:rFonts w:hint="eastAsia"/>
          <w:color w:val="000000" w:themeColor="text1"/>
          <w:kern w:val="2"/>
          <w:lang w:val="en-US" w:eastAsia="zh-CN"/>
          <w14:textFill>
            <w14:solidFill>
              <w14:schemeClr w14:val="tx1"/>
            </w14:solidFill>
          </w14:textFill>
        </w:rPr>
        <w:t>可利旧</w:t>
      </w:r>
      <w:r>
        <w:rPr>
          <w:rFonts w:hint="eastAsia"/>
          <w:color w:val="000000" w:themeColor="text1"/>
          <w:kern w:val="2"/>
          <w:lang w:eastAsia="zh-CN"/>
          <w14:textFill>
            <w14:solidFill>
              <w14:schemeClr w14:val="tx1"/>
            </w14:solidFill>
          </w14:textFill>
        </w:rPr>
        <w:t>），在液动插板门下发布置2组空气锤，要求空气炮和空气锤在给煤机断煤情况下实现自动投入，且就地实现PLC控制。</w:t>
      </w:r>
    </w:p>
    <w:p w14:paraId="742A627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0</w:t>
      </w:r>
      <w:r>
        <w:rPr>
          <w:rFonts w:hint="eastAsia"/>
          <w:color w:val="000000" w:themeColor="text1"/>
          <w:kern w:val="2"/>
          <w:lang w:eastAsia="zh-CN"/>
          <w14:textFill>
            <w14:solidFill>
              <w14:schemeClr w14:val="tx1"/>
            </w14:solidFill>
          </w14:textFill>
        </w:rPr>
        <w:t>）整个改造系统投入运行以后，不得对原输煤、给煤系统及设备有任何不良影响。</w:t>
      </w:r>
    </w:p>
    <w:p w14:paraId="12ED58C4">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1</w:t>
      </w:r>
      <w:r>
        <w:rPr>
          <w:rFonts w:hint="eastAsia"/>
          <w:color w:val="000000" w:themeColor="text1"/>
          <w:kern w:val="2"/>
          <w:lang w:eastAsia="zh-CN"/>
          <w14:textFill>
            <w14:solidFill>
              <w14:schemeClr w14:val="tx1"/>
            </w14:solidFill>
          </w14:textFill>
        </w:rPr>
        <w:t>）设备均应正确制造，在任何工况下均能安全、连续运行，而不应有过度的应力、振动、温升、磨损、腐蚀、老化等其他问题。</w:t>
      </w:r>
    </w:p>
    <w:p w14:paraId="726FA70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2</w:t>
      </w:r>
      <w:r>
        <w:rPr>
          <w:rFonts w:hint="eastAsia"/>
          <w:color w:val="000000" w:themeColor="text1"/>
          <w:kern w:val="2"/>
          <w:lang w:eastAsia="zh-CN"/>
          <w14:textFill>
            <w14:solidFill>
              <w14:schemeClr w14:val="tx1"/>
            </w14:solidFill>
          </w14:textFill>
        </w:rPr>
        <w:t>）投标人所供钢材，须随货提供生产厂家出具的出厂质量证明书；若投标人所供钢材存在质量不合格情形，除自行承担由此造成的全部损失外，招标人将依据合同相关约定予以考核并追究其相应责任。</w:t>
      </w:r>
    </w:p>
    <w:p w14:paraId="6EFA1372">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）每个分仓两侧应至少各设置</w:t>
      </w:r>
      <w:r>
        <w:rPr>
          <w:rFonts w:hint="eastAsia"/>
          <w:color w:val="000000" w:themeColor="text1"/>
          <w:kern w:val="2"/>
          <w:lang w:val="en-US" w:eastAsia="zh-CN"/>
          <w14:textFill>
            <w14:solidFill>
              <w14:schemeClr w14:val="tx1"/>
            </w14:solidFill>
          </w14:textFill>
        </w:rPr>
        <w:t>2</w:t>
      </w:r>
      <w:r>
        <w:rPr>
          <w:rFonts w:hint="eastAsia"/>
          <w:color w:val="000000" w:themeColor="text1"/>
          <w:kern w:val="2"/>
          <w:lang w:eastAsia="zh-CN"/>
          <w14:textFill>
            <w14:solidFill>
              <w14:schemeClr w14:val="tx1"/>
            </w14:solidFill>
          </w14:textFill>
        </w:rPr>
        <w:t>个料位测点（</w:t>
      </w:r>
      <w:r>
        <w:rPr>
          <w:rFonts w:hint="eastAsia"/>
          <w:color w:val="000000" w:themeColor="text1"/>
          <w:kern w:val="2"/>
          <w:lang w:val="en-US" w:eastAsia="zh-CN"/>
          <w14:textFill>
            <w14:solidFill>
              <w14:schemeClr w14:val="tx1"/>
            </w14:solidFill>
          </w14:textFill>
        </w:rPr>
        <w:t>现有料位计可利旧</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缺少部分需投标人提供，</w:t>
      </w:r>
      <w:r>
        <w:rPr>
          <w:rFonts w:hint="eastAsia"/>
          <w:color w:val="000000" w:themeColor="text1"/>
          <w:kern w:val="2"/>
          <w:lang w:eastAsia="zh-CN"/>
          <w14:textFill>
            <w14:solidFill>
              <w14:schemeClr w14:val="tx1"/>
            </w14:solidFill>
          </w14:textFill>
        </w:rPr>
        <w:t>料位计测量距离不小于40m，且保证测量准确</w:t>
      </w:r>
      <w:r>
        <w:rPr>
          <w:rFonts w:hint="eastAsia"/>
          <w:color w:val="000000" w:themeColor="text1"/>
          <w:kern w:val="2"/>
          <w:lang w:val="en-US" w:eastAsia="zh-CN"/>
          <w14:textFill>
            <w14:solidFill>
              <w14:schemeClr w14:val="tx1"/>
            </w14:solidFill>
          </w14:textFill>
        </w:rPr>
        <w:t>数据无波动，输煤控制系统与主机控制系统均可显示料位</w:t>
      </w:r>
      <w:r>
        <w:rPr>
          <w:rFonts w:hint="eastAsia"/>
          <w:color w:val="000000" w:themeColor="text1"/>
          <w:kern w:val="2"/>
          <w:lang w:eastAsia="zh-CN"/>
          <w14:textFill>
            <w14:solidFill>
              <w14:schemeClr w14:val="tx1"/>
            </w14:solidFill>
          </w14:textFill>
        </w:rPr>
        <w:t>。</w:t>
      </w:r>
    </w:p>
    <w:p w14:paraId="04CADB1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4</w:t>
      </w:r>
      <w:r>
        <w:rPr>
          <w:rFonts w:hint="eastAsia"/>
          <w:color w:val="000000" w:themeColor="text1"/>
          <w:kern w:val="2"/>
          <w:lang w:eastAsia="zh-CN"/>
          <w14:textFill>
            <w14:solidFill>
              <w14:schemeClr w14:val="tx1"/>
            </w14:solidFill>
          </w14:textFill>
        </w:rPr>
        <w:t>）分仓改造后原煤仓切换操作会造成煤质剧烈波动，进而导致机组负荷调节速率慢，主汽压力调节不稳定、机组顶峰出力受限等问题，造成“两个细则”及容量电价考核，因此分仓改造后必须进行分仓切换协调优化工作。</w:t>
      </w:r>
    </w:p>
    <w:p w14:paraId="4404F73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5</w:t>
      </w:r>
      <w:r>
        <w:rPr>
          <w:rFonts w:hint="eastAsia"/>
          <w:color w:val="000000" w:themeColor="text1"/>
          <w:kern w:val="2"/>
          <w:lang w:eastAsia="zh-CN"/>
          <w14:textFill>
            <w14:solidFill>
              <w14:schemeClr w14:val="tx1"/>
            </w14:solidFill>
          </w14:textFill>
        </w:rPr>
        <w:t>）焊缝及材料的无损检测为着色检测，应按国家标准及电力行业标准的规定执行，焊缝检测量按5%，并形成检测报告，完工后归档。</w:t>
      </w:r>
    </w:p>
    <w:p w14:paraId="21FA2AE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6</w:t>
      </w:r>
      <w:r>
        <w:rPr>
          <w:rFonts w:hint="eastAsia"/>
          <w:color w:val="000000" w:themeColor="text1"/>
          <w:kern w:val="2"/>
          <w:lang w:eastAsia="zh-CN"/>
          <w14:textFill>
            <w14:solidFill>
              <w14:schemeClr w14:val="tx1"/>
            </w14:solidFill>
          </w14:textFill>
        </w:rPr>
        <w:t>）液压油泵所需要的电机需使用符合国家标准的一级低耗能电机。</w:t>
      </w:r>
    </w:p>
    <w:p w14:paraId="6B6F285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7</w:t>
      </w:r>
      <w:r>
        <w:rPr>
          <w:rFonts w:hint="eastAsia"/>
          <w:color w:val="000000" w:themeColor="text1"/>
          <w:kern w:val="2"/>
          <w:lang w:eastAsia="zh-CN"/>
          <w14:textFill>
            <w14:solidFill>
              <w14:schemeClr w14:val="tx1"/>
            </w14:solidFill>
          </w14:textFill>
        </w:rPr>
        <w:t>）项目完成后，所有新增设备和系统表面应进行刷漆防腐处理，油漆颜色与原有系统的颜色匹配。</w:t>
      </w:r>
    </w:p>
    <w:p w14:paraId="17630DE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8</w:t>
      </w:r>
      <w:r>
        <w:rPr>
          <w:rFonts w:hint="eastAsia"/>
          <w:color w:val="000000" w:themeColor="text1"/>
          <w:kern w:val="2"/>
          <w:lang w:eastAsia="zh-CN"/>
          <w14:textFill>
            <w14:solidFill>
              <w14:schemeClr w14:val="tx1"/>
            </w14:solidFill>
          </w14:textFill>
        </w:rPr>
        <w:t>）系统、设备及阀门标示：本次改造范围内所有新增系统、设备及阀门必须按照招标人规范要求设置标示牌。</w:t>
      </w:r>
    </w:p>
    <w:p w14:paraId="41181994">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19</w:t>
      </w:r>
      <w:r>
        <w:rPr>
          <w:rFonts w:hint="eastAsia"/>
          <w:color w:val="000000" w:themeColor="text1"/>
          <w:kern w:val="2"/>
          <w:lang w:eastAsia="zh-CN"/>
          <w14:textFill>
            <w14:solidFill>
              <w14:schemeClr w14:val="tx1"/>
            </w14:solidFill>
          </w14:textFill>
        </w:rPr>
        <w:t>）新增原煤仓中间隔板、煤仓</w:t>
      </w:r>
      <w:r>
        <w:rPr>
          <w:rFonts w:hint="eastAsia"/>
          <w:color w:val="auto"/>
          <w:kern w:val="2"/>
          <w:lang w:val="en-US" w:eastAsia="zh-CN"/>
        </w:rPr>
        <w:t>雷达</w:t>
      </w:r>
      <w:r>
        <w:rPr>
          <w:rFonts w:hint="eastAsia"/>
          <w:color w:val="auto"/>
          <w:kern w:val="2"/>
          <w:lang w:eastAsia="zh-CN"/>
        </w:rPr>
        <w:t>料位</w:t>
      </w:r>
      <w:r>
        <w:rPr>
          <w:rFonts w:hint="eastAsia"/>
          <w:color w:val="000000" w:themeColor="text1"/>
          <w:kern w:val="2"/>
          <w:lang w:eastAsia="zh-CN"/>
          <w14:textFill>
            <w14:solidFill>
              <w14:schemeClr w14:val="tx1"/>
            </w14:solidFill>
          </w14:textFill>
        </w:rPr>
        <w:t>测量装置、插板门。</w:t>
      </w:r>
    </w:p>
    <w:p w14:paraId="0C4E184F">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0</w:t>
      </w:r>
      <w:r>
        <w:rPr>
          <w:rFonts w:hint="eastAsia"/>
          <w:color w:val="000000" w:themeColor="text1"/>
          <w:kern w:val="2"/>
          <w:lang w:eastAsia="zh-CN"/>
          <w14:textFill>
            <w14:solidFill>
              <w14:schemeClr w14:val="tx1"/>
            </w14:solidFill>
          </w14:textFill>
        </w:rPr>
        <w:t>）新增电气系统（包括照明、通讯、检修电源、配电装置、电缆、电缆桥架和接地等）。</w:t>
      </w:r>
    </w:p>
    <w:p w14:paraId="3DF36750">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1</w:t>
      </w:r>
      <w:r>
        <w:rPr>
          <w:rFonts w:hint="eastAsia"/>
          <w:color w:val="000000" w:themeColor="text1"/>
          <w:kern w:val="2"/>
          <w:lang w:eastAsia="zh-CN"/>
          <w14:textFill>
            <w14:solidFill>
              <w14:schemeClr w14:val="tx1"/>
            </w14:solidFill>
          </w14:textFill>
        </w:rPr>
        <w:t>）投标人</w:t>
      </w:r>
      <w:r>
        <w:rPr>
          <w:rFonts w:hint="eastAsia"/>
          <w:color w:val="000000" w:themeColor="text1"/>
          <w:kern w:val="2"/>
          <w:lang w:val="en-US" w:eastAsia="zh-CN"/>
          <w14:textFill>
            <w14:solidFill>
              <w14:schemeClr w14:val="tx1"/>
            </w14:solidFill>
          </w14:textFill>
        </w:rPr>
        <w:t>负责</w:t>
      </w:r>
      <w:r>
        <w:rPr>
          <w:rFonts w:hint="eastAsia"/>
          <w:color w:val="000000" w:themeColor="text1"/>
          <w:kern w:val="2"/>
          <w:lang w:eastAsia="zh-CN"/>
          <w14:textFill>
            <w14:solidFill>
              <w14:schemeClr w14:val="tx1"/>
            </w14:solidFill>
          </w14:textFill>
        </w:rPr>
        <w:t>DCS系统扩展（包括卡件等供货、安装、电缆、电缆桥架等。所有新进入DCS控制及显示参数，投标人提供进入DCS测点清册，I/O测点的分配，必须满足《火力发电厂燃煤机组热工监督标准》及《DLT659-2016火力发电厂分散控制系统验收测试规程》相关要求。新增的原煤仓中分仓系统相关参数接入DCS系统进行数据显示，</w:t>
      </w:r>
      <w:r>
        <w:rPr>
          <w:rFonts w:hint="eastAsia"/>
          <w:color w:val="000000" w:themeColor="text1"/>
          <w:kern w:val="2"/>
          <w:lang w:val="en-US" w:eastAsia="zh-CN"/>
          <w14:textFill>
            <w14:solidFill>
              <w14:schemeClr w14:val="tx1"/>
            </w14:solidFill>
          </w14:textFill>
        </w:rPr>
        <w:t>并对DCS进行画面、逻辑组态</w:t>
      </w:r>
      <w:r>
        <w:rPr>
          <w:rFonts w:hint="eastAsia"/>
          <w:color w:val="000000" w:themeColor="text1"/>
          <w:kern w:val="2"/>
          <w:lang w:eastAsia="zh-CN"/>
          <w14:textFill>
            <w14:solidFill>
              <w14:schemeClr w14:val="tx1"/>
            </w14:solidFill>
          </w14:textFill>
        </w:rPr>
        <w:t>。</w:t>
      </w:r>
    </w:p>
    <w:p w14:paraId="757217C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2</w:t>
      </w:r>
      <w:r>
        <w:rPr>
          <w:rFonts w:hint="eastAsia"/>
          <w:color w:val="000000" w:themeColor="text1"/>
          <w:kern w:val="2"/>
          <w:lang w:eastAsia="zh-CN"/>
          <w14:textFill>
            <w14:solidFill>
              <w14:schemeClr w14:val="tx1"/>
            </w14:solidFill>
          </w14:textFill>
        </w:rPr>
        <w:t>）新增的钢结构（含钢结构改造及补强部分、防腐、保温和油漆等）。</w:t>
      </w:r>
    </w:p>
    <w:p w14:paraId="6CCC0E6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）安装过程需要搭拆的脚手架由投标人负责，所需要的电源、气源、水源等由招标人提供。</w:t>
      </w:r>
    </w:p>
    <w:p w14:paraId="3B24449C">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4</w:t>
      </w:r>
      <w:r>
        <w:rPr>
          <w:rFonts w:hint="eastAsia"/>
          <w:color w:val="000000" w:themeColor="text1"/>
          <w:kern w:val="2"/>
          <w:lang w:eastAsia="zh-CN"/>
          <w14:textFill>
            <w14:solidFill>
              <w14:schemeClr w14:val="tx1"/>
            </w14:solidFill>
          </w14:textFill>
        </w:rPr>
        <w:t>）设置原煤仓</w:t>
      </w:r>
      <w:r>
        <w:rPr>
          <w:rFonts w:hint="eastAsia"/>
          <w:color w:val="000000" w:themeColor="text1"/>
          <w:kern w:val="2"/>
          <w:lang w:val="en-US" w:eastAsia="zh-CN"/>
          <w14:textFill>
            <w14:solidFill>
              <w14:schemeClr w14:val="tx1"/>
            </w14:solidFill>
          </w14:textFill>
        </w:rPr>
        <w:t>四六</w:t>
      </w:r>
      <w:r>
        <w:rPr>
          <w:rFonts w:hint="eastAsia"/>
          <w:color w:val="000000" w:themeColor="text1"/>
          <w:kern w:val="2"/>
          <w:lang w:eastAsia="zh-CN"/>
          <w14:textFill>
            <w14:solidFill>
              <w14:schemeClr w14:val="tx1"/>
            </w14:solidFill>
          </w14:textFill>
        </w:rPr>
        <w:t>分仓挡板阀，可实现不同煤质煤种同时或单独供应给煤机。</w:t>
      </w:r>
    </w:p>
    <w:p w14:paraId="07E3306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5</w:t>
      </w:r>
      <w:r>
        <w:rPr>
          <w:rFonts w:hint="eastAsia"/>
          <w:color w:val="000000" w:themeColor="text1"/>
          <w:kern w:val="2"/>
          <w:lang w:eastAsia="zh-CN"/>
          <w14:textFill>
            <w14:solidFill>
              <w14:schemeClr w14:val="tx1"/>
            </w14:solidFill>
          </w14:textFill>
        </w:rPr>
        <w:t>）原煤仓插板门需实现远程DCS操作。</w:t>
      </w:r>
    </w:p>
    <w:p w14:paraId="622CCC5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6</w:t>
      </w:r>
      <w:r>
        <w:rPr>
          <w:rFonts w:hint="eastAsia"/>
          <w:color w:val="000000" w:themeColor="text1"/>
          <w:kern w:val="2"/>
          <w:lang w:eastAsia="zh-CN"/>
          <w14:textFill>
            <w14:solidFill>
              <w14:schemeClr w14:val="tx1"/>
            </w14:solidFill>
          </w14:textFill>
        </w:rPr>
        <w:t>）原煤仓优化改造后，可实现不同煤质煤种分别由不同煤仓进仓上料。</w:t>
      </w:r>
    </w:p>
    <w:p w14:paraId="128377E4">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7</w:t>
      </w:r>
      <w:r>
        <w:rPr>
          <w:rFonts w:hint="eastAsia"/>
          <w:color w:val="000000" w:themeColor="text1"/>
          <w:kern w:val="2"/>
          <w:lang w:eastAsia="zh-CN"/>
          <w14:textFill>
            <w14:solidFill>
              <w14:schemeClr w14:val="tx1"/>
            </w14:solidFill>
          </w14:textFill>
        </w:rPr>
        <w:t>）热控设备的安装须满足招标人现场生产运营要求，项目实施过程中需增补的槽盒、桥架、穿线管、蛇皮管、气源管等各类辅料，均由投标人自行负责提供。其中槽盒统一采用不锈钢材质；蛇皮管选用PA6尼龙阻燃软管，其允许使用温度范围为-30℃～100℃、阻燃等级达到V-2级，且所有蛇皮管接头的防水等级须为IP67。投标人所提供的各类控制设备，均需经招标人审核确认后方可投入使用。</w:t>
      </w:r>
    </w:p>
    <w:p w14:paraId="63C960D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8</w:t>
      </w:r>
      <w:r>
        <w:rPr>
          <w:rFonts w:hint="eastAsia"/>
          <w:color w:val="000000" w:themeColor="text1"/>
          <w:kern w:val="2"/>
          <w:lang w:eastAsia="zh-CN"/>
          <w14:textFill>
            <w14:solidFill>
              <w14:schemeClr w14:val="tx1"/>
            </w14:solidFill>
          </w14:textFill>
        </w:rPr>
        <w:t>）因本次改造产生的仪表和控制系统设备移位、更换，电缆接线、重新安装调试、路径调整及所用安装材料，均由投标人负责提供并完成项目实施。</w:t>
      </w:r>
    </w:p>
    <w:p w14:paraId="443C499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29</w:t>
      </w:r>
      <w:r>
        <w:rPr>
          <w:rFonts w:hint="eastAsia"/>
          <w:color w:val="000000" w:themeColor="text1"/>
          <w:kern w:val="2"/>
          <w:lang w:eastAsia="zh-CN"/>
          <w14:textFill>
            <w14:solidFill>
              <w14:schemeClr w14:val="tx1"/>
            </w14:solidFill>
          </w14:textFill>
        </w:rPr>
        <w:t>）投标人需依据具有甲级设计资质单位出具的电厂原煤仓分仓隔板改造校核计算书，经招标人审核认可后，方可开展项目实施工作。</w:t>
      </w:r>
    </w:p>
    <w:p w14:paraId="4B55041E">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en-US"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30</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投标方负责SIS\MISS数据接口调试与画面完善。</w:t>
      </w:r>
    </w:p>
    <w:p w14:paraId="39EC04C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highlight w:val="none"/>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31）</w:t>
      </w:r>
      <w:r>
        <w:rPr>
          <w:rFonts w:hint="eastAsia"/>
          <w:color w:val="000000" w:themeColor="text1"/>
          <w:kern w:val="2"/>
          <w:highlight w:val="none"/>
          <w:lang w:val="en-US" w:eastAsia="zh-CN"/>
          <w14:textFill>
            <w14:solidFill>
              <w14:schemeClr w14:val="tx1"/>
            </w14:solidFill>
          </w14:textFill>
        </w:rPr>
        <w:t>改造后的单侧可切换式侧犁煤器的钢结构应有足够的刚度、强度和稳定性，操作机构灵活、无卡涩， 犁刀落下，主、副犁刀与胶带面应接触良好，燃煤能顺畅、干净地被犁入其锁气漏斗，不出现溢流、漏煤现象；犁刀抬起，燃煤应能顺利地通过，升降平稳，并可实现远方集控操作和就地操作两种方式。单侧可切换犁式卸料器卸料方向改变采用单电机双缸体液压推杆进行切换。</w:t>
      </w:r>
    </w:p>
    <w:p w14:paraId="30B9737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.2现场项目实施技术要求</w:t>
      </w:r>
    </w:p>
    <w:p w14:paraId="2C0DBA8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2.1钢结构技术要求</w:t>
      </w:r>
    </w:p>
    <w:p w14:paraId="78440A5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（1）原煤仓中间隔板安装前应对原煤仓筒壁进行测厚检查。</w:t>
      </w:r>
    </w:p>
    <w:p w14:paraId="40803B81">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2</w:t>
      </w:r>
      <w:r>
        <w:rPr>
          <w:rFonts w:hint="eastAsia"/>
          <w:color w:val="000000" w:themeColor="text1"/>
          <w:kern w:val="2"/>
          <w:lang w:eastAsia="zh-CN"/>
          <w14:textFill>
            <w14:solidFill>
              <w14:schemeClr w14:val="tx1"/>
            </w14:solidFill>
          </w14:textFill>
        </w:rPr>
        <w:t>）钢材成分应满足有关规范的要求，必须具有抗拉强度，</w:t>
      </w:r>
      <w:r>
        <w:rPr>
          <w:rFonts w:hint="eastAsia"/>
          <w:color w:val="000000" w:themeColor="text1"/>
          <w:kern w:val="2"/>
          <w:lang w:val="en-US" w:eastAsia="zh-CN"/>
          <w14:textFill>
            <w14:solidFill>
              <w14:schemeClr w14:val="tx1"/>
            </w14:solidFill>
          </w14:textFill>
        </w:rPr>
        <w:t>伸</w:t>
      </w:r>
      <w:r>
        <w:rPr>
          <w:rFonts w:hint="eastAsia"/>
          <w:color w:val="000000" w:themeColor="text1"/>
          <w:kern w:val="2"/>
          <w:lang w:eastAsia="zh-CN"/>
          <w14:textFill>
            <w14:solidFill>
              <w14:schemeClr w14:val="tx1"/>
            </w14:solidFill>
          </w14:textFill>
        </w:rPr>
        <w:t>长率，</w:t>
      </w:r>
      <w:r>
        <w:rPr>
          <w:rFonts w:hint="eastAsia"/>
          <w:color w:val="000000" w:themeColor="text1"/>
          <w:kern w:val="2"/>
          <w:lang w:val="en-US" w:eastAsia="zh-CN"/>
          <w14:textFill>
            <w14:solidFill>
              <w14:schemeClr w14:val="tx1"/>
            </w14:solidFill>
          </w14:textFill>
        </w:rPr>
        <w:t>屈</w:t>
      </w:r>
      <w:r>
        <w:rPr>
          <w:rFonts w:hint="eastAsia"/>
          <w:color w:val="000000" w:themeColor="text1"/>
          <w:kern w:val="2"/>
          <w:lang w:eastAsia="zh-CN"/>
          <w14:textFill>
            <w14:solidFill>
              <w14:schemeClr w14:val="tx1"/>
            </w14:solidFill>
          </w14:textFill>
        </w:rPr>
        <w:t>服强度和碳、</w:t>
      </w:r>
      <w:r>
        <w:rPr>
          <w:rFonts w:hint="eastAsia"/>
          <w:color w:val="000000" w:themeColor="text1"/>
          <w:kern w:val="2"/>
          <w:lang w:val="en-US" w:eastAsia="zh-CN"/>
          <w14:textFill>
            <w14:solidFill>
              <w14:schemeClr w14:val="tx1"/>
            </w14:solidFill>
          </w14:textFill>
        </w:rPr>
        <w:t>硫、</w:t>
      </w:r>
      <w:r>
        <w:rPr>
          <w:rFonts w:hint="eastAsia"/>
          <w:color w:val="000000" w:themeColor="text1"/>
          <w:kern w:val="2"/>
          <w:lang w:eastAsia="zh-CN"/>
          <w14:textFill>
            <w14:solidFill>
              <w14:schemeClr w14:val="tx1"/>
            </w14:solidFill>
          </w14:textFill>
        </w:rPr>
        <w:t>磷等合量的合格保证，碳当量或焊接裂纹敏感性指数应满足相应规范要求,钢材还应具有冷弯试验的合格保证。</w:t>
      </w:r>
    </w:p>
    <w:p w14:paraId="770FDCDE">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）加工制作时需按</w:t>
      </w:r>
      <w:r>
        <w:rPr>
          <w:rFonts w:hint="eastAsia"/>
          <w:color w:val="000000" w:themeColor="text1"/>
          <w:kern w:val="2"/>
          <w:lang w:val="en-US" w:eastAsia="zh-CN"/>
          <w14:textFill>
            <w14:solidFill>
              <w14:schemeClr w14:val="tx1"/>
            </w14:solidFill>
          </w14:textFill>
        </w:rPr>
        <w:t>图</w:t>
      </w:r>
      <w:r>
        <w:rPr>
          <w:rFonts w:hint="eastAsia"/>
          <w:color w:val="000000" w:themeColor="text1"/>
          <w:kern w:val="2"/>
          <w:lang w:eastAsia="zh-CN"/>
          <w14:textFill>
            <w14:solidFill>
              <w14:schemeClr w14:val="tx1"/>
            </w14:solidFill>
          </w14:textFill>
        </w:rPr>
        <w:t>中控制尺寸现场</w:t>
      </w:r>
      <w:r>
        <w:rPr>
          <w:rFonts w:hint="eastAsia"/>
          <w:color w:val="000000" w:themeColor="text1"/>
          <w:kern w:val="2"/>
          <w:lang w:val="en-US" w:eastAsia="zh-CN"/>
          <w14:textFill>
            <w14:solidFill>
              <w14:schemeClr w14:val="tx1"/>
            </w14:solidFill>
          </w14:textFill>
        </w:rPr>
        <w:t>放</w:t>
      </w:r>
      <w:r>
        <w:rPr>
          <w:rFonts w:hint="eastAsia"/>
          <w:color w:val="000000" w:themeColor="text1"/>
          <w:kern w:val="2"/>
          <w:lang w:eastAsia="zh-CN"/>
          <w14:textFill>
            <w14:solidFill>
              <w14:schemeClr w14:val="tx1"/>
            </w14:solidFill>
          </w14:textFill>
        </w:rPr>
        <w:t>样,成形、拼装、涂装及施焊应符合GB50205-2013《钢结构工程施工质量验收规范》加工制作时检验需按二级焊缝标准控制各连接点均需连续满焊，并请详细检查。焊高度同焊件最小厚度(图中注明者除外)；钢结构施工及焊接还应满足相关国家规范。 施工应以构件明细表所注材料长、宽尺寸为依据、以现场放样为准。</w:t>
      </w:r>
    </w:p>
    <w:p w14:paraId="18B267A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4</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施</w:t>
      </w:r>
      <w:r>
        <w:rPr>
          <w:rFonts w:hint="eastAsia"/>
          <w:color w:val="000000" w:themeColor="text1"/>
          <w:kern w:val="2"/>
          <w:lang w:eastAsia="zh-CN"/>
          <w14:textFill>
            <w14:solidFill>
              <w14:schemeClr w14:val="tx1"/>
            </w14:solidFill>
          </w14:textFill>
        </w:rPr>
        <w:t>工中必须事先合理安排煤斗、框架梁及楼板的施工顺序，</w:t>
      </w:r>
    </w:p>
    <w:p w14:paraId="1BF9DC3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5</w:t>
      </w:r>
      <w:r>
        <w:rPr>
          <w:rFonts w:hint="eastAsia"/>
          <w:color w:val="000000" w:themeColor="text1"/>
          <w:kern w:val="2"/>
          <w:lang w:eastAsia="zh-CN"/>
          <w14:textFill>
            <w14:solidFill>
              <w14:schemeClr w14:val="tx1"/>
            </w14:solidFill>
          </w14:textFill>
        </w:rPr>
        <w:t>）钢板的拼接采用等强对接焊缝,纵 横二个方向的焊缝可采用“</w:t>
      </w:r>
      <w:r>
        <w:rPr>
          <w:rFonts w:hint="eastAsia"/>
          <w:color w:val="000000" w:themeColor="text1"/>
          <w:kern w:val="2"/>
          <w:lang w:val="en-US" w:eastAsia="zh-CN"/>
          <w14:textFill>
            <w14:solidFill>
              <w14:schemeClr w14:val="tx1"/>
            </w14:solidFill>
          </w14:textFill>
        </w:rPr>
        <w:t>T</w:t>
      </w:r>
      <w:r>
        <w:rPr>
          <w:rFonts w:hint="eastAsia"/>
          <w:color w:val="000000" w:themeColor="text1"/>
          <w:kern w:val="2"/>
          <w:lang w:eastAsia="zh-CN"/>
          <w14:textFill>
            <w14:solidFill>
              <w14:schemeClr w14:val="tx1"/>
            </w14:solidFill>
          </w14:textFill>
        </w:rPr>
        <w:t>”形交叉,交叉点的距离不得小于300</w:t>
      </w:r>
      <w:r>
        <w:rPr>
          <w:rFonts w:hint="eastAsia"/>
          <w:color w:val="000000" w:themeColor="text1"/>
          <w:kern w:val="2"/>
          <w:lang w:val="en-US" w:eastAsia="zh-CN"/>
          <w14:textFill>
            <w14:solidFill>
              <w14:schemeClr w14:val="tx1"/>
            </w14:solidFill>
          </w14:textFill>
        </w:rPr>
        <w:t>nn</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隔板</w:t>
      </w:r>
      <w:r>
        <w:rPr>
          <w:rFonts w:hint="eastAsia"/>
          <w:color w:val="000000" w:themeColor="text1"/>
          <w:kern w:val="2"/>
          <w:lang w:eastAsia="zh-CN"/>
          <w14:textFill>
            <w14:solidFill>
              <w14:schemeClr w14:val="tx1"/>
            </w14:solidFill>
          </w14:textFill>
        </w:rPr>
        <w:t>壁竖向拼接焊缝不多于5条且上下焊缝错开不小于500mm。在对接焊缝的两端设置</w:t>
      </w:r>
      <w:r>
        <w:rPr>
          <w:rFonts w:hint="eastAsia"/>
          <w:color w:val="000000" w:themeColor="text1"/>
          <w:kern w:val="2"/>
          <w:lang w:val="en-US" w:eastAsia="zh-CN"/>
          <w14:textFill>
            <w14:solidFill>
              <w14:schemeClr w14:val="tx1"/>
            </w14:solidFill>
          </w14:textFill>
        </w:rPr>
        <w:t>引弧</w:t>
      </w:r>
      <w:r>
        <w:rPr>
          <w:rFonts w:hint="eastAsia"/>
          <w:color w:val="000000" w:themeColor="text1"/>
          <w:kern w:val="2"/>
          <w:lang w:eastAsia="zh-CN"/>
          <w14:textFill>
            <w14:solidFill>
              <w14:schemeClr w14:val="tx1"/>
            </w14:solidFill>
          </w14:textFill>
        </w:rPr>
        <w:t>板，其剖口形式与主材相同,待焊后再将引弧板割除,对接焊缝内侧表面应光滑。所有坡口焊均应完全焊透，在锥斗</w:t>
      </w:r>
      <w:r>
        <w:rPr>
          <w:rFonts w:hint="eastAsia"/>
          <w:color w:val="000000" w:themeColor="text1"/>
          <w:kern w:val="2"/>
          <w:lang w:val="en-US" w:eastAsia="zh-CN"/>
          <w14:textFill>
            <w14:solidFill>
              <w14:schemeClr w14:val="tx1"/>
            </w14:solidFill>
          </w14:textFill>
        </w:rPr>
        <w:t>段</w:t>
      </w:r>
      <w:r>
        <w:rPr>
          <w:rFonts w:hint="eastAsia"/>
          <w:color w:val="000000" w:themeColor="text1"/>
          <w:kern w:val="2"/>
          <w:lang w:eastAsia="zh-CN"/>
          <w14:textFill>
            <w14:solidFill>
              <w14:schemeClr w14:val="tx1"/>
            </w14:solidFill>
          </w14:textFill>
        </w:rPr>
        <w:t>内</w:t>
      </w:r>
      <w:r>
        <w:rPr>
          <w:rFonts w:hint="eastAsia"/>
          <w:color w:val="000000" w:themeColor="text1"/>
          <w:kern w:val="2"/>
          <w:lang w:val="en-US" w:eastAsia="zh-CN"/>
          <w14:textFill>
            <w14:solidFill>
              <w14:schemeClr w14:val="tx1"/>
            </w14:solidFill>
          </w14:textFill>
        </w:rPr>
        <w:t>隔板</w:t>
      </w:r>
      <w:r>
        <w:rPr>
          <w:rFonts w:hint="eastAsia"/>
          <w:color w:val="000000" w:themeColor="text1"/>
          <w:kern w:val="2"/>
          <w:lang w:eastAsia="zh-CN"/>
          <w14:textFill>
            <w14:solidFill>
              <w14:schemeClr w14:val="tx1"/>
            </w14:solidFill>
          </w14:textFill>
        </w:rPr>
        <w:t>表面的水平焊缝应磨光，以防止斗内煤堆积。</w:t>
      </w:r>
    </w:p>
    <w:p w14:paraId="513A9A1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.2.2焊接技术要求</w:t>
      </w:r>
    </w:p>
    <w:p w14:paraId="340338F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（1）焊接作业应由具备相应焊接资质的焊工操作，禁止无证进行焊接作业。</w:t>
      </w:r>
    </w:p>
    <w:p w14:paraId="0091CC5C">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焊接按照从下往上的顺序进行，在进行某一层项目实施时，先搭建中间隔板框架，待框架焊接完成经招标人验收合格后方可进行侧板的焊接工作，焊口附近10-15mm范围内应除水、油、锈、漆，且打磨干净见金属光泽，侧板现场逐块与中间框架焊接即可，所有焊缝均为连续焊缝，焊接完毕对焊缝进行打磨，确保焊道与侧板平齐。</w:t>
      </w:r>
    </w:p>
    <w:p w14:paraId="0314DBEF">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（3）每层框架与侧板焊接工作完成后，在与煤仓相接触的四角贴不锈钢圆弧衬角，厚度不低于3mm，并在焊接前预留安装空气炮圆孔，衬角与原煤仓仓壁及隔板满焊。</w:t>
      </w:r>
    </w:p>
    <w:p w14:paraId="307928A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（4）在顶部横梁上部焊接人字形导流帽，材质为10mm耐磨不锈钢，导流帽与原煤仓仓壁焊接，减少此处存煤的风险。</w:t>
      </w:r>
    </w:p>
    <w:p w14:paraId="4782D83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（5）焊接完毕后，应将焊缝表面的飞溅、熔渣等仔细清理干净，并检查外观质量，必要时可做局部返修。</w:t>
      </w:r>
    </w:p>
    <w:p w14:paraId="3B1915B4">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（6）钢结构焊接完毕需对焊缝进行无损着色检测。</w:t>
      </w:r>
    </w:p>
    <w:p w14:paraId="5F9CB96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.3临时项目的实施</w:t>
      </w:r>
    </w:p>
    <w:p w14:paraId="38AECEB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（1）项目实施中涉及到的吊装作业，卷扬机、支撑点等应布置合理，不允许与锅炉主立柱直接焊接，吊装点和固定点的选择安装应有专业单位对其结构进行评估，并出具正式项目实施方案。</w:t>
      </w:r>
    </w:p>
    <w:p w14:paraId="6987886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（2）投标人临时组建的氧气、乙炔、氩气库，根据气体库存量，必须符合相关标准。</w:t>
      </w:r>
    </w:p>
    <w:p w14:paraId="09F7043C">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（3）投标人使用的临时场地，应在招标人指定范围内，用于存放、组装设备，并做好防火措施。</w:t>
      </w:r>
    </w:p>
    <w:p w14:paraId="321B5391">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4</w:t>
      </w:r>
      <w:r>
        <w:rPr>
          <w:rFonts w:hint="eastAsia"/>
          <w:color w:val="000000" w:themeColor="text1"/>
          <w:kern w:val="2"/>
          <w:lang w:eastAsia="zh-CN"/>
          <w14:textFill>
            <w14:solidFill>
              <w14:schemeClr w14:val="tx1"/>
            </w14:solidFill>
          </w14:textFill>
        </w:rPr>
        <w:t>原有设备的拆除和清运</w:t>
      </w:r>
    </w:p>
    <w:p w14:paraId="29C4C5D4">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（1）涉及到的设备系统变更，投标人应提前提出变更申请。</w:t>
      </w:r>
    </w:p>
    <w:p w14:paraId="4121668C">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（2）原有设备拆除后，应在规定时间内放置到招标人指定位置，严禁在作业现场长时间堆积。</w:t>
      </w:r>
    </w:p>
    <w:p w14:paraId="2C74127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（3）项目实施过程中要保证现场的文明卫生标准。</w:t>
      </w:r>
    </w:p>
    <w:p w14:paraId="041AE7A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5</w:t>
      </w:r>
      <w:r>
        <w:rPr>
          <w:rFonts w:hint="eastAsia"/>
          <w:color w:val="000000" w:themeColor="text1"/>
          <w:kern w:val="2"/>
          <w:lang w:eastAsia="zh-CN"/>
          <w14:textFill>
            <w14:solidFill>
              <w14:schemeClr w14:val="tx1"/>
            </w14:solidFill>
          </w14:textFill>
        </w:rPr>
        <w:t>安全工器具</w:t>
      </w:r>
    </w:p>
    <w:p w14:paraId="3AD5A3AE">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zh-CN" w:eastAsia="zh-CN"/>
          <w14:textFill>
            <w14:solidFill>
              <w14:schemeClr w14:val="tx1"/>
            </w14:solidFill>
          </w14:textFill>
        </w:rPr>
        <w:t>1）所有的安全工器具应由</w:t>
      </w:r>
      <w:r>
        <w:rPr>
          <w:rFonts w:hint="eastAsia"/>
          <w:color w:val="000000" w:themeColor="text1"/>
          <w:kern w:val="2"/>
          <w:lang w:eastAsia="zh-CN"/>
          <w14:textFill>
            <w14:solidFill>
              <w14:schemeClr w14:val="tx1"/>
            </w14:solidFill>
          </w14:textFill>
        </w:rPr>
        <w:t>投标人</w:t>
      </w:r>
      <w:r>
        <w:rPr>
          <w:rFonts w:hint="eastAsia"/>
          <w:color w:val="000000" w:themeColor="text1"/>
          <w:kern w:val="2"/>
          <w:lang w:val="zh-CN" w:eastAsia="zh-CN"/>
          <w14:textFill>
            <w14:solidFill>
              <w14:schemeClr w14:val="tx1"/>
            </w14:solidFill>
          </w14:textFill>
        </w:rPr>
        <w:t>指定专人保管，应建立安全工器具登记台账，做到账物相符，一一对应，制定使用和操作规定，并正确、及时地记录安全工器具检查情况。</w:t>
      </w:r>
    </w:p>
    <w:p w14:paraId="7EE97342">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zh-CN" w:eastAsia="zh-CN"/>
          <w14:textFill>
            <w14:solidFill>
              <w14:schemeClr w14:val="tx1"/>
            </w14:solidFill>
          </w14:textFill>
        </w:rPr>
        <w:t>2）安全工器具的保管人应做好日常定期检查、维护和保养工作，防止变形、锈蚀和损坏，做到清洁、完好，并做好定期送交试验工作，以确保在试验周期内合格使用。</w:t>
      </w:r>
    </w:p>
    <w:p w14:paraId="39630CA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（3</w:t>
      </w:r>
      <w:r>
        <w:rPr>
          <w:rFonts w:hint="eastAsia"/>
          <w:color w:val="000000" w:themeColor="text1"/>
          <w:kern w:val="2"/>
          <w:lang w:val="zh-CN" w:eastAsia="zh-CN"/>
          <w14:textFill>
            <w14:solidFill>
              <w14:schemeClr w14:val="tx1"/>
            </w14:solidFill>
          </w14:textFill>
        </w:rPr>
        <w:t>）现场使用的安全工器具必须是经过检查和试验合格并贴有有效合格标志的；受损、受潮、不完整、不合格或超试验周期，无有效合格标志的应另外存放，做出</w:t>
      </w:r>
      <w:r>
        <w:rPr>
          <w:rFonts w:hint="eastAsia"/>
          <w:color w:val="000000" w:themeColor="text1"/>
          <w:kern w:val="2"/>
          <w:lang w:eastAsia="zh-CN"/>
          <w14:textFill>
            <w14:solidFill>
              <w14:schemeClr w14:val="tx1"/>
            </w14:solidFill>
          </w14:textFill>
        </w:rPr>
        <w:t>标示</w:t>
      </w:r>
      <w:r>
        <w:rPr>
          <w:rFonts w:hint="eastAsia"/>
          <w:color w:val="000000" w:themeColor="text1"/>
          <w:kern w:val="2"/>
          <w:lang w:val="zh-CN" w:eastAsia="zh-CN"/>
          <w14:textFill>
            <w14:solidFill>
              <w14:schemeClr w14:val="tx1"/>
            </w14:solidFill>
          </w14:textFill>
        </w:rPr>
        <w:t>，禁止使用。</w:t>
      </w:r>
    </w:p>
    <w:p w14:paraId="02BD023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（4</w:t>
      </w:r>
      <w:r>
        <w:rPr>
          <w:rFonts w:hint="eastAsia"/>
          <w:color w:val="000000" w:themeColor="text1"/>
          <w:kern w:val="2"/>
          <w:lang w:val="zh-CN" w:eastAsia="zh-CN"/>
          <w14:textFill>
            <w14:solidFill>
              <w14:schemeClr w14:val="tx1"/>
            </w14:solidFill>
          </w14:textFill>
        </w:rPr>
        <w:t>）现场使用安全工器具应根据不同的工作环境，工艺要求，工作负荷，电压等级合理地选用安全工器具，严禁超铭牌使用，使用前检查其完好程度和检验周期，使用中应遵守有关使用、操作规定及安全工作规程。</w:t>
      </w:r>
    </w:p>
    <w:p w14:paraId="1DAF839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（5）项目开工</w:t>
      </w:r>
      <w:r>
        <w:rPr>
          <w:rFonts w:hint="eastAsia"/>
          <w:color w:val="000000" w:themeColor="text1"/>
          <w:kern w:val="2"/>
          <w:lang w:val="zh-CN" w:eastAsia="zh-CN"/>
          <w14:textFill>
            <w14:solidFill>
              <w14:schemeClr w14:val="tx1"/>
            </w14:solidFill>
          </w14:textFill>
        </w:rPr>
        <w:t>前应对安全工器具</w:t>
      </w:r>
      <w:r>
        <w:rPr>
          <w:rFonts w:hint="eastAsia"/>
          <w:color w:val="000000" w:themeColor="text1"/>
          <w:kern w:val="2"/>
          <w:lang w:eastAsia="zh-CN"/>
          <w14:textFill>
            <w14:solidFill>
              <w14:schemeClr w14:val="tx1"/>
            </w14:solidFill>
          </w14:textFill>
        </w:rPr>
        <w:t>做</w:t>
      </w:r>
      <w:r>
        <w:rPr>
          <w:rFonts w:hint="eastAsia"/>
          <w:color w:val="000000" w:themeColor="text1"/>
          <w:kern w:val="2"/>
          <w:lang w:val="zh-CN" w:eastAsia="zh-CN"/>
          <w14:textFill>
            <w14:solidFill>
              <w14:schemeClr w14:val="tx1"/>
            </w14:solidFill>
          </w14:textFill>
        </w:rPr>
        <w:t>一次全面检查。</w:t>
      </w:r>
    </w:p>
    <w:p w14:paraId="0C4C3AC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6</w:t>
      </w:r>
      <w:r>
        <w:rPr>
          <w:rFonts w:hint="eastAsia"/>
          <w:color w:val="000000" w:themeColor="text1"/>
          <w:kern w:val="2"/>
          <w:lang w:eastAsia="zh-CN"/>
          <w14:textFill>
            <w14:solidFill>
              <w14:schemeClr w14:val="tx1"/>
            </w14:solidFill>
          </w14:textFill>
        </w:rPr>
        <w:t>起重工器具</w:t>
      </w:r>
    </w:p>
    <w:p w14:paraId="768A013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zh-CN" w:eastAsia="zh-CN"/>
          <w14:textFill>
            <w14:solidFill>
              <w14:schemeClr w14:val="tx1"/>
            </w14:solidFill>
          </w14:textFill>
        </w:rPr>
        <w:t>1）起重工器具在作业前，应进行例行检查。使用中发现异常情况时，必须及时处理，严禁带病运行。</w:t>
      </w:r>
    </w:p>
    <w:p w14:paraId="2644BD1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zh-CN" w:eastAsia="zh-CN"/>
          <w14:textFill>
            <w14:solidFill>
              <w14:schemeClr w14:val="tx1"/>
            </w14:solidFill>
          </w14:textFill>
        </w:rPr>
        <w:t>）起重工器具的保管人应做好日常维护和保养工作，防止变形、锈蚀和损坏。做好定期检查工作并定期送交检验，确保在检验周期内合格使用。</w:t>
      </w:r>
    </w:p>
    <w:p w14:paraId="3530C2C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（3）</w:t>
      </w:r>
      <w:r>
        <w:rPr>
          <w:rFonts w:hint="eastAsia"/>
          <w:color w:val="000000" w:themeColor="text1"/>
          <w:kern w:val="2"/>
          <w:lang w:val="zh-CN" w:eastAsia="zh-CN"/>
          <w14:textFill>
            <w14:solidFill>
              <w14:schemeClr w14:val="tx1"/>
            </w14:solidFill>
          </w14:textFill>
        </w:rPr>
        <w:t>各类起重机具，严禁超额定使用。使用前检查其完好程度和检验周期，使用中应遵守有关使用、操作规定及安全工作规程。</w:t>
      </w:r>
    </w:p>
    <w:p w14:paraId="2AFBAC6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（4）</w:t>
      </w:r>
      <w:r>
        <w:rPr>
          <w:rFonts w:hint="eastAsia"/>
          <w:color w:val="000000" w:themeColor="text1"/>
          <w:kern w:val="2"/>
          <w:lang w:val="zh-CN" w:eastAsia="zh-CN"/>
          <w14:textFill>
            <w14:solidFill>
              <w14:schemeClr w14:val="tx1"/>
            </w14:solidFill>
          </w14:textFill>
        </w:rPr>
        <w:t>严禁无证人员从事起重作业。</w:t>
      </w:r>
      <w:r>
        <w:rPr>
          <w:rFonts w:hint="eastAsia"/>
          <w:color w:val="000000" w:themeColor="text1"/>
          <w:kern w:val="2"/>
          <w:lang w:eastAsia="zh-CN"/>
          <w14:textFill>
            <w14:solidFill>
              <w14:schemeClr w14:val="tx1"/>
            </w14:solidFill>
          </w14:textFill>
        </w:rPr>
        <w:t>特种设备的操作人员</w:t>
      </w:r>
      <w:r>
        <w:rPr>
          <w:rFonts w:hint="eastAsia"/>
          <w:color w:val="000000" w:themeColor="text1"/>
          <w:kern w:val="2"/>
          <w:lang w:val="zh-CN" w:eastAsia="zh-CN"/>
          <w14:textFill>
            <w14:solidFill>
              <w14:schemeClr w14:val="tx1"/>
            </w14:solidFill>
          </w14:textFill>
        </w:rPr>
        <w:t>必须持有地方技监部门考核后签发的安全操作证。</w:t>
      </w:r>
    </w:p>
    <w:p w14:paraId="75157C9C">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（5）</w:t>
      </w:r>
      <w:r>
        <w:rPr>
          <w:rFonts w:hint="eastAsia"/>
          <w:color w:val="000000" w:themeColor="text1"/>
          <w:kern w:val="2"/>
          <w:lang w:val="zh-CN" w:eastAsia="zh-CN"/>
          <w14:textFill>
            <w14:solidFill>
              <w14:schemeClr w14:val="tx1"/>
            </w14:solidFill>
          </w14:textFill>
        </w:rPr>
        <w:t>现场使用的起重机具必须是经过检查、检验合格并贴有有效合格标志的；不合格的应做出</w:t>
      </w:r>
      <w:r>
        <w:rPr>
          <w:rFonts w:hint="eastAsia"/>
          <w:color w:val="000000" w:themeColor="text1"/>
          <w:kern w:val="2"/>
          <w:lang w:eastAsia="zh-CN"/>
          <w14:textFill>
            <w14:solidFill>
              <w14:schemeClr w14:val="tx1"/>
            </w14:solidFill>
          </w14:textFill>
        </w:rPr>
        <w:t>标示</w:t>
      </w:r>
      <w:r>
        <w:rPr>
          <w:rFonts w:hint="eastAsia"/>
          <w:color w:val="000000" w:themeColor="text1"/>
          <w:kern w:val="2"/>
          <w:lang w:val="zh-CN" w:eastAsia="zh-CN"/>
          <w14:textFill>
            <w14:solidFill>
              <w14:schemeClr w14:val="tx1"/>
            </w14:solidFill>
          </w14:textFill>
        </w:rPr>
        <w:t>，禁止使用。</w:t>
      </w:r>
    </w:p>
    <w:p w14:paraId="7DC1249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（6）项目实施</w:t>
      </w:r>
      <w:r>
        <w:rPr>
          <w:rFonts w:hint="eastAsia"/>
          <w:color w:val="000000" w:themeColor="text1"/>
          <w:kern w:val="2"/>
          <w:lang w:val="zh-CN" w:eastAsia="zh-CN"/>
          <w14:textFill>
            <w14:solidFill>
              <w14:schemeClr w14:val="tx1"/>
            </w14:solidFill>
          </w14:textFill>
        </w:rPr>
        <w:t>前应对所有起重机具</w:t>
      </w:r>
      <w:r>
        <w:rPr>
          <w:rFonts w:hint="eastAsia"/>
          <w:color w:val="000000" w:themeColor="text1"/>
          <w:kern w:val="2"/>
          <w:lang w:eastAsia="zh-CN"/>
          <w14:textFill>
            <w14:solidFill>
              <w14:schemeClr w14:val="tx1"/>
            </w14:solidFill>
          </w14:textFill>
        </w:rPr>
        <w:t>做</w:t>
      </w:r>
      <w:r>
        <w:rPr>
          <w:rFonts w:hint="eastAsia"/>
          <w:color w:val="000000" w:themeColor="text1"/>
          <w:kern w:val="2"/>
          <w:lang w:val="zh-CN" w:eastAsia="zh-CN"/>
          <w14:textFill>
            <w14:solidFill>
              <w14:schemeClr w14:val="tx1"/>
            </w14:solidFill>
          </w14:textFill>
        </w:rPr>
        <w:t>一次全面检查。</w:t>
      </w:r>
    </w:p>
    <w:p w14:paraId="59138DD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7</w:t>
      </w:r>
      <w:r>
        <w:rPr>
          <w:rFonts w:hint="eastAsia"/>
          <w:color w:val="000000" w:themeColor="text1"/>
          <w:kern w:val="2"/>
          <w:lang w:eastAsia="zh-CN"/>
          <w14:textFill>
            <w14:solidFill>
              <w14:schemeClr w14:val="tx1"/>
            </w14:solidFill>
          </w14:textFill>
        </w:rPr>
        <w:t>电气工器具</w:t>
      </w:r>
    </w:p>
    <w:p w14:paraId="71AB2262">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（1）电气工器具的保管人应做好日常定期检查、维护和保养工作，并做好定期送交试验工作，以确保在试验周期内合格使用。</w:t>
      </w:r>
    </w:p>
    <w:p w14:paraId="17420520">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（2）现场使用的电气工器具必须是经过检查和试验合格并贴有有效合格标志的，否则禁止使用。</w:t>
      </w:r>
    </w:p>
    <w:p w14:paraId="7D6D872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现场使用电气工器具应根据不同的工作环境，工艺要求，工作负荷，电压等级合理地选用电气工器具，严禁超铭牌使用，使用前检查其完好程度和检验周期，使用中应遵守有关使用、操作规定及电业安全工作规程。</w:t>
      </w:r>
    </w:p>
    <w:p w14:paraId="0AA772D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4）电气工器具的定期检查与试验工作由工器具报告部门或班组组织实施，有条件的可由电气专业定期试验并统一负责发合格证，电气专业应建立电气工器具试验台账，负责统一编号。条件不具备的应委托有资质单位进行；工具管理部门或班组应对电气工器具定期试验做出计划，做出检修或申请报废等处理；对到期未能送交试验的班组加以督促，确保试验工作按周期按要求进行，无一遗漏。</w:t>
      </w:r>
    </w:p>
    <w:p w14:paraId="42BD477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（5）电气工器具定期检查与试验按安全监督有关标准化要求的检查表进行。</w:t>
      </w:r>
    </w:p>
    <w:p w14:paraId="5E9727E7">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（6）项目实施前应对电气工器具做一次全面检查。</w:t>
      </w:r>
    </w:p>
    <w:p w14:paraId="7994EB9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（7）投标人检修所使用的电焊机、电气工器具应检验合格，贴有检验合格证，并在有效期内。</w:t>
      </w:r>
    </w:p>
    <w:p w14:paraId="32A76A6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（8）投标人携带进入本厂使用的电焊机、电动工器具，实行入厂检查准入制度。</w:t>
      </w:r>
    </w:p>
    <w:p w14:paraId="0ABB1E34">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（9）投标人携带的焊机、电动工器具入厂时，必须先自行（或委托有资格检验单位）检验合格，并标识完好。</w:t>
      </w:r>
    </w:p>
    <w:p w14:paraId="5DC4099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（10）投标人在开工前应提前向电厂申请办理焊机、工器具入厂准入手续。</w:t>
      </w:r>
    </w:p>
    <w:p w14:paraId="1656FD8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11）在办理入厂准入手续时，投标人应把需要入厂使用的焊机、电动工器具一次性统一运到招标人项目实施地点，并向招标人提交所有被检工器具清册。清册中应标明各工器具的名称、规格、数量、检验单位、最近一次检验日期及有效期等。</w:t>
      </w:r>
    </w:p>
    <w:p w14:paraId="5163BEEC">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（12）凡由招标人抽检合格的批次焊机、工器具，由企业统一发放电气工器具“准入证”。准入证张贴在原检验合格证旁，准入证的检验有效期应为其本次检修使用周期，但不得超过原检验有效期。</w:t>
      </w:r>
    </w:p>
    <w:p w14:paraId="7DCC73E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（13）投标人电焊机、电气工器具安全标志齐全完好，按照国家、行业安全工作规程规定规范使用。</w:t>
      </w:r>
    </w:p>
    <w:p w14:paraId="13CA62F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14）投标人电焊机的二次回路接地线应接在需焊接的同一设备上，距离不超过1m，特殊设备、区域需要集中接地的，必须向安全监察部门申请备案；禁止用铁棒等金属物代替，禁止就近在格栅、栏杆、钢梁等设施上接地。</w:t>
      </w:r>
    </w:p>
    <w:p w14:paraId="6D79C1EE">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8</w:t>
      </w:r>
      <w:r>
        <w:rPr>
          <w:rFonts w:hint="eastAsia"/>
          <w:color w:val="000000" w:themeColor="text1"/>
          <w:kern w:val="2"/>
          <w:lang w:eastAsia="zh-CN"/>
          <w14:textFill>
            <w14:solidFill>
              <w14:schemeClr w14:val="tx1"/>
            </w14:solidFill>
          </w14:textFill>
        </w:rPr>
        <w:t>液压双向插板门技术要求</w:t>
      </w:r>
    </w:p>
    <w:p w14:paraId="647C440E">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（1）插板门安装煤斗下口采用闸板结构，投标人合理选择钢板厚度，确保闸板无弯曲变形，且不影响密封性能，外泄漏量为零。一体化开关量控制，配带DCS接口，硬接线方式接入DCS系统监控。</w:t>
      </w:r>
    </w:p>
    <w:p w14:paraId="6A59B74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（2）插板门结构应有足够的刚度，阀板采用耐磨不锈钢，插板厚度不小于25mm，执行器推力满足使用要求。且表面经过抛光处理，具有强度高、耐腐蚀、表面光滑等优点。</w:t>
      </w:r>
    </w:p>
    <w:p w14:paraId="6B7870A0">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（3）插板门阀板进行退火热处理消除应力，具有自清理轨道功能，防止卡阻。</w:t>
      </w:r>
    </w:p>
    <w:p w14:paraId="6E2DF96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（4）插板门安装后其内壁与原煤斗内壁平滑过渡，不得存在凸起、凹陷，防止产生挂壁堵煤。该插板结构应具有防止煤粉进入轨道卡涩插板开关的功能。</w:t>
      </w:r>
    </w:p>
    <w:p w14:paraId="7AB5D78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（5）每个插板采用两个液压推杆作为动力，单个液压缸推力不小于100kN，避免不能开启/关闭的问题，与气动元件相比较，具有推力大、易操作、便维护的优势。</w:t>
      </w:r>
    </w:p>
    <w:p w14:paraId="4566154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（6）插板门在厂内组装后，进行冷态调试，保证动作灵活，无卡阻现象，密封件接触良好。</w:t>
      </w:r>
    </w:p>
    <w:p w14:paraId="1F5AC911">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（7）插板门有时间及开关限位三重保护，保证阀门安全运行。</w:t>
      </w:r>
    </w:p>
    <w:p w14:paraId="5CA8E7B1">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（8）插板门采用液压推杆结构，两侧闸板分别单独操控，具备就地远方切换功能，必须保证单侧阀板的两个液压推杆运行同步，控制系统与旋转清堵机控制系统接入同一个配电箱。</w:t>
      </w:r>
    </w:p>
    <w:p w14:paraId="214ADA9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（9）每个原煤仓采用两套泵站，每套泵站电机功率为不高于5.5kW，容积不少于75L，控制油压力不高于10MPa，可单侧控制，通过手动转换可控制邻侧。</w:t>
      </w:r>
    </w:p>
    <w:p w14:paraId="1A0106D0">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（10）设备采用螺栓连接结构，拆装便捷，检修方便。</w:t>
      </w:r>
    </w:p>
    <w:p w14:paraId="513D909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（11）投标人应提供液压插板门的型号、阀板材质、阀板厚度、阀板内径、插板门安装方式，以及单个液压缸推力、泵站电机功率、泵站油箱容积、油站运行控制最高油压等参数，供招标人审核确认。</w:t>
      </w:r>
    </w:p>
    <w:p w14:paraId="081A0AC0">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9</w:t>
      </w:r>
      <w:r>
        <w:rPr>
          <w:rFonts w:hint="eastAsia"/>
          <w:color w:val="000000" w:themeColor="text1"/>
          <w:kern w:val="2"/>
          <w:lang w:eastAsia="zh-CN"/>
          <w14:textFill>
            <w14:solidFill>
              <w14:schemeClr w14:val="tx1"/>
            </w14:solidFill>
          </w14:textFill>
        </w:rPr>
        <w:t>控制及仪表供货要求</w:t>
      </w:r>
    </w:p>
    <w:p w14:paraId="622BE3C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仪表和控制设备的设置位置和数量满足机组DCS系统对于本项目实施范围内设备进行远方监视、运行调整、事故处理要求，并采用与原煤仓危险等级相对应的防爆仪表及控制系统设备。所有仪表和控制应满足招标人目前所使用的自动控制要求。</w:t>
      </w:r>
    </w:p>
    <w:p w14:paraId="16CC5382">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本项目实施范围内设备应与测量仪表及变送器连接的仪表管材质与工艺介质相适应，不得出现腐蚀或污染的现象，并根据安装地点的要求，满足防爆、防火、防水、防冻、防腐、防尘、环境温湿度的有关要求。</w:t>
      </w:r>
    </w:p>
    <w:p w14:paraId="0DE4714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（3）本项目实施所涉及的控制、联锁及保护等功能在招标人的主机DCS中实现，全部控制功能由主机DCS实现。</w:t>
      </w:r>
    </w:p>
    <w:p w14:paraId="3B8EDCEF">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（4）本项目实施所涉及设备纳入招标人DCS控制系统，实现系统的启停、正常运行工况的监视、异常工况的报警和紧急事故的处理。</w:t>
      </w:r>
    </w:p>
    <w:p w14:paraId="09A3C61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（5）DCS实现的控制功能：空气炮的远方启动、运行指示、故障反馈；插板门单侧的开/关指令、开/关到位反馈、故障反馈；</w:t>
      </w:r>
    </w:p>
    <w:p w14:paraId="7D7B6A41">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auto"/>
          <w:kern w:val="2"/>
          <w:lang w:eastAsia="zh-CN"/>
        </w:rPr>
      </w:pPr>
      <w:r>
        <w:rPr>
          <w:rFonts w:hint="eastAsia"/>
          <w:color w:val="000000" w:themeColor="text1"/>
          <w:kern w:val="2"/>
          <w:lang w:eastAsia="zh-CN"/>
          <w14:textFill>
            <w14:solidFill>
              <w14:schemeClr w14:val="tx1"/>
            </w14:solidFill>
          </w14:textFill>
        </w:rPr>
        <w:t>（6）热控部分继电器、接触器、按钮开关、断路器等可选用Schneider、OMRON、SIEMENS，</w:t>
      </w:r>
      <w:r>
        <w:rPr>
          <w:rFonts w:hint="eastAsia"/>
          <w:color w:val="000000" w:themeColor="text1"/>
          <w:kern w:val="2"/>
          <w:lang w:val="en-US" w:eastAsia="zh-CN"/>
          <w14:textFill>
            <w14:solidFill>
              <w14:schemeClr w14:val="tx1"/>
            </w14:solidFill>
          </w14:textFill>
        </w:rPr>
        <w:t>雷达料位采</w:t>
      </w:r>
      <w:r>
        <w:rPr>
          <w:rFonts w:hint="eastAsia"/>
          <w:color w:val="auto"/>
          <w:kern w:val="2"/>
          <w:lang w:val="en-US" w:eastAsia="zh-CN"/>
        </w:rPr>
        <w:t>用</w:t>
      </w:r>
      <w:r>
        <w:rPr>
          <w:rFonts w:hint="eastAsia"/>
          <w:color w:val="auto"/>
          <w:kern w:val="2"/>
          <w:lang w:eastAsia="zh-CN"/>
        </w:rPr>
        <w:t>K-TEK 、Vega、</w:t>
      </w:r>
      <w:r>
        <w:rPr>
          <w:rFonts w:hint="eastAsia"/>
          <w:color w:val="auto"/>
          <w:kern w:val="2"/>
          <w:lang w:val="en-US" w:eastAsia="zh-CN"/>
        </w:rPr>
        <w:t>E+H</w:t>
      </w:r>
      <w:r>
        <w:rPr>
          <w:rFonts w:hint="eastAsia"/>
          <w:color w:val="auto"/>
          <w:kern w:val="2"/>
          <w:lang w:eastAsia="zh-CN"/>
        </w:rPr>
        <w:t>或同等档次产品。</w:t>
      </w:r>
    </w:p>
    <w:p w14:paraId="4EAB230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（7）电气部分一、二次元件可选用正泰、施耐德、西门子或同等档次产品；继电器可选用施耐德、OMRON、西门子或同等档次产品。</w:t>
      </w:r>
    </w:p>
    <w:p w14:paraId="68CD1782">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10</w:t>
      </w:r>
      <w:r>
        <w:rPr>
          <w:rFonts w:hint="eastAsia"/>
          <w:color w:val="000000" w:themeColor="text1"/>
          <w:kern w:val="2"/>
          <w:lang w:eastAsia="zh-CN"/>
          <w14:textFill>
            <w14:solidFill>
              <w14:schemeClr w14:val="tx1"/>
            </w14:solidFill>
          </w14:textFill>
        </w:rPr>
        <w:t>电缆要求</w:t>
      </w:r>
    </w:p>
    <w:p w14:paraId="197B214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投标人提供的电缆，包括控制电缆、电力电缆及专用电缆等，所有电缆应为阻燃铠装电缆，具有较好的电气性能，机械物理性能以及不延燃性，应满足本项目的实际工作环境，并满足有关国际、国家规范和标准。计算机及控制电缆要求每根电缆至少留有两根备用芯。</w:t>
      </w:r>
    </w:p>
    <w:p w14:paraId="3720278E">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用于开关量信号与控制装置连接：选用1.0mm²阻燃交联聚乙烯电缆（电缆导体的最高额定温度90℃），具有总屏蔽。质量要求执行国家相关标准（耐火特性试验执行GB12666.6及IEC331标准，阻燃特性试验执行GB12666.5标准）。</w:t>
      </w:r>
    </w:p>
    <w:p w14:paraId="2AEFB18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（3）用于现场模拟量信号与控制系统连接：选用1.0mm²阻燃交联聚乙烯电缆（电缆导体的最高额定温度90℃），分对屏蔽加总屏蔽。质量执行国家相关标准（参照IEC60754-2）。</w:t>
      </w:r>
    </w:p>
    <w:p w14:paraId="05508E4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4）电缆敷设及电缆通道的项目实施，除满足本项目现场实施要求外，还应符合相关施工、调试及验收规范的规定。电缆穿管应采用镀锌钢管，转接蛇皮管的长度不得超过1m。投标人所提供的镀锌钢管、蛇皮管、花纹角铁、管卡、蛇皮管接头、线套管等安装附件，均需经招标人审核确认；凡未经招标人确认的安装附件，投标人须按招标人要求无偿更换。</w:t>
      </w:r>
    </w:p>
    <w:p w14:paraId="196353A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11</w:t>
      </w:r>
      <w:r>
        <w:rPr>
          <w:rFonts w:hint="eastAsia"/>
          <w:color w:val="000000" w:themeColor="text1"/>
          <w:kern w:val="2"/>
          <w:lang w:eastAsia="zh-CN"/>
          <w14:textFill>
            <w14:solidFill>
              <w14:schemeClr w14:val="tx1"/>
            </w14:solidFill>
          </w14:textFill>
        </w:rPr>
        <w:t>控制盘、台、柜要求</w:t>
      </w:r>
    </w:p>
    <w:p w14:paraId="20BB3207">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（1）盘、台、柜门有导向式门封垫条。室内盘、台、柜内的端子排布置在易于安装接线的地方，并且与柜底的距离不少于300mm。电源柜端子和机柜的内部接线用线根据所需容量配置和选择线型。</w:t>
      </w:r>
    </w:p>
    <w:p w14:paraId="30A7018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（2）控制盘、柜内保留一定数目（15%）的端子空位，以便其他设备输入、输出信号接上时备用。</w:t>
      </w:r>
    </w:p>
    <w:p w14:paraId="0CAEE8D7">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（3）提供的控制盘、台、柜即能防尘、防滴水、防腐、防潮、防结露，符合IP54标准（对于室内安装）和IP56（对于室外安装）或相应的标准。</w:t>
      </w:r>
    </w:p>
    <w:p w14:paraId="07ED5EC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（4）所有室外安装的就地控制盘（柜）、就地接线盒外壳材料为不锈钢，电磁阀箱/柜门锁具不得采用钥匙，材质选用不小于2.0mm的不锈钢板制作。</w:t>
      </w:r>
    </w:p>
    <w:p w14:paraId="30F3001E">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（5）墙挂式控制箱高度不超过1200mm。</w:t>
      </w:r>
    </w:p>
    <w:p w14:paraId="647829A1">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（6）控制机柜内设有独立的直流地、机壳安全地、电缆屏蔽地接点端子，与结构内部未接地电路板在电气上隔离。</w:t>
      </w:r>
    </w:p>
    <w:p w14:paraId="261A4A5C">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12</w:t>
      </w:r>
      <w:r>
        <w:rPr>
          <w:rFonts w:hint="eastAsia"/>
          <w:color w:val="000000" w:themeColor="text1"/>
          <w:kern w:val="2"/>
          <w:lang w:eastAsia="zh-CN"/>
          <w14:textFill>
            <w14:solidFill>
              <w14:schemeClr w14:val="tx1"/>
            </w14:solidFill>
          </w14:textFill>
        </w:rPr>
        <w:t>投标人所提供的全部设备、材料，均须随货提供由具备相应资质的生产厂家或检验检测机构出具的产品合格证书。投标人应对其领用的进场设备、材料（含合同双方各自供应的部分）履行复检义务，严禁不合格产品投入本项目检修维护工作。招标人有权对本项目中所有投入使用的设备、材料进行检查和试验，且招标人的前述检查、试验工作，不免除合同约定的投标人应承担的相关义务。招标人、投标人双方应对各自所提供的设备、材料质量独立承担相应责任。</w:t>
      </w:r>
    </w:p>
    <w:p w14:paraId="079D6B5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13</w:t>
      </w:r>
      <w:r>
        <w:rPr>
          <w:rFonts w:hint="eastAsia"/>
          <w:color w:val="000000" w:themeColor="text1"/>
          <w:kern w:val="2"/>
          <w:lang w:eastAsia="zh-CN"/>
          <w14:textFill>
            <w14:solidFill>
              <w14:schemeClr w14:val="tx1"/>
            </w14:solidFill>
          </w14:textFill>
        </w:rPr>
        <w:t>若招标人经检验认为，投标人所供设备、材料的检验结果不合格或不符合本技术协议书约定要求，招标人有权拒收该部分设备、材料，并应立即书面通知投标人，且在通知中明确拒收的具体理由。投标人须在接到书面通知后，立即处置相关问题或整体更换该批设备、材料，确保所供设备、材料完全符合本技术协议书约定要求。若招标人对经处置或更换后的该批设备、材料仍有异议，招标人可委托具有相应资质的第三方对本项目所用材料、设备开展独立检验，且应提前书面通知投标人；若检验结果仍不合格，因此产生的全部费用均由投标人承担。</w:t>
      </w:r>
    </w:p>
    <w:p w14:paraId="0CBE71D1">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4</w:t>
      </w:r>
      <w:r>
        <w:rPr>
          <w:rFonts w:hint="eastAsia"/>
          <w:color w:val="000000" w:themeColor="text1"/>
          <w:kern w:val="2"/>
          <w:lang w:eastAsia="zh-CN"/>
          <w14:textFill>
            <w14:solidFill>
              <w14:schemeClr w14:val="tx1"/>
            </w14:solidFill>
          </w14:textFill>
        </w:rPr>
        <w:t>投标人在领用招标人提供的设备及材料时，应严格执行招标人制订的物资管理制度及管理程序。</w:t>
      </w:r>
    </w:p>
    <w:p w14:paraId="21D13625">
      <w:pPr>
        <w:pStyle w:val="2"/>
        <w:numPr>
          <w:ilvl w:val="0"/>
          <w:numId w:val="0"/>
        </w:numPr>
        <w:spacing w:before="0" w:after="0" w:line="360" w:lineRule="auto"/>
        <w:ind w:leftChars="0"/>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四、标准与规范</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8C544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bookmarkStart w:id="80" w:name="_Toc17461"/>
      <w:bookmarkStart w:id="81" w:name="_Toc17744"/>
      <w:bookmarkStart w:id="82" w:name="_Toc26073"/>
      <w:bookmarkStart w:id="83" w:name="_Toc3504"/>
      <w:bookmarkStart w:id="84" w:name="_Toc22153"/>
      <w:bookmarkStart w:id="85" w:name="_Toc2141_WPSOffice_Level2"/>
      <w:bookmarkStart w:id="86" w:name="_Toc5157"/>
      <w:bookmarkStart w:id="87" w:name="_Toc11588"/>
      <w:bookmarkStart w:id="88" w:name="_Toc4337"/>
      <w:bookmarkStart w:id="89" w:name="_Toc29751_WPSOffice_Level2"/>
      <w:bookmarkStart w:id="90" w:name="_Toc16715"/>
      <w:bookmarkStart w:id="91" w:name="_Toc5749"/>
      <w:bookmarkStart w:id="92" w:name="_Toc11613"/>
      <w:bookmarkStart w:id="93" w:name="_Toc23522"/>
      <w:bookmarkStart w:id="94" w:name="_Toc22206"/>
      <w:bookmarkStart w:id="95" w:name="_Toc15412"/>
      <w:bookmarkStart w:id="96" w:name="_Toc17802"/>
      <w:bookmarkStart w:id="97" w:name="_Toc16633"/>
      <w:bookmarkStart w:id="98" w:name="_Toc28602"/>
      <w:r>
        <w:rPr>
          <w:rFonts w:hint="eastAsia" w:ascii="仿宋" w:hAnsi="仿宋" w:eastAsia="仿宋" w:cs="仿宋"/>
          <w:bCs/>
          <w:kern w:val="2"/>
          <w:sz w:val="28"/>
          <w:szCs w:val="28"/>
          <w:lang w:val="en-US" w:eastAsia="zh-CN" w:bidi="ar-SA"/>
        </w:rPr>
        <w:t>4.1通用部分</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008D227">
      <w:pPr>
        <w:numPr>
          <w:ilvl w:val="0"/>
          <w:numId w:val="0"/>
        </w:numPr>
        <w:adjustRightInd w:val="0"/>
        <w:snapToGrid w:val="0"/>
        <w:spacing w:line="360" w:lineRule="auto"/>
        <w:rPr>
          <w:rFonts w:hint="eastAsia" w:ascii="仿宋" w:hAnsi="仿宋" w:eastAsia="仿宋" w:cs="仿宋"/>
          <w:bCs/>
          <w:kern w:val="2"/>
          <w:sz w:val="28"/>
          <w:szCs w:val="28"/>
          <w:lang w:val="en-US" w:eastAsia="zh-CN" w:bidi="ar-SA"/>
        </w:rPr>
      </w:pPr>
      <w:bookmarkStart w:id="99" w:name="_Toc14014"/>
      <w:bookmarkStart w:id="100" w:name="_Toc14380"/>
      <w:bookmarkStart w:id="101" w:name="_Toc8148"/>
      <w:bookmarkStart w:id="102" w:name="_Toc3638"/>
      <w:bookmarkStart w:id="103" w:name="_Toc15272_WPSOffice_Level2"/>
      <w:r>
        <w:rPr>
          <w:rFonts w:hint="eastAsia" w:ascii="仿宋" w:hAnsi="仿宋" w:eastAsia="仿宋" w:cs="仿宋"/>
          <w:bCs/>
          <w:kern w:val="2"/>
          <w:sz w:val="28"/>
          <w:szCs w:val="28"/>
          <w:lang w:val="en-US" w:eastAsia="zh-CN" w:bidi="ar-SA"/>
        </w:rPr>
        <w:t>4.1.1本项目应能最低限度遵守国家、地方及行业现行的标准、规范，以及建筑、施工和环保等有关类似容量、范围及性质的规定。同时，也应遵守在合同实施期间对以上标准或规范的修改，以及新颁布的标准和规范。具体标准和规范见专用部分，如专用部分未单独列出标准和规范，则按国家、地方及行业相应最高要求实施。</w:t>
      </w:r>
    </w:p>
    <w:p w14:paraId="49ECC8CA">
      <w:pPr>
        <w:numPr>
          <w:ilvl w:val="0"/>
          <w:numId w:val="0"/>
        </w:numPr>
        <w:adjustRightInd w:val="0"/>
        <w:snapToGrid w:val="0"/>
        <w:spacing w:line="360" w:lineRule="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4.1.2本项目在执行上述要求外，还须执行投标方的相关管理要求。</w:t>
      </w:r>
    </w:p>
    <w:p w14:paraId="3490FC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bookmarkStart w:id="104" w:name="_Toc25558"/>
      <w:bookmarkStart w:id="105" w:name="_Toc28647_WPSOffice_Level2"/>
      <w:bookmarkStart w:id="106" w:name="_Toc3956"/>
      <w:bookmarkStart w:id="107" w:name="_Toc22396"/>
      <w:bookmarkStart w:id="108" w:name="_Toc11482"/>
      <w:bookmarkStart w:id="109" w:name="_Toc30843"/>
      <w:bookmarkStart w:id="110" w:name="_Toc28453"/>
      <w:bookmarkStart w:id="111" w:name="_Toc25630"/>
      <w:bookmarkStart w:id="112" w:name="_Toc22205"/>
      <w:bookmarkStart w:id="113" w:name="_Toc26825"/>
      <w:bookmarkStart w:id="114" w:name="_Toc29143"/>
      <w:bookmarkStart w:id="115" w:name="_Toc11075"/>
      <w:bookmarkStart w:id="116" w:name="_Toc14384"/>
      <w:bookmarkStart w:id="117" w:name="_Toc30442"/>
      <w:r>
        <w:rPr>
          <w:rFonts w:hint="eastAsia" w:ascii="仿宋" w:hAnsi="仿宋" w:eastAsia="仿宋" w:cs="仿宋"/>
          <w:bCs/>
          <w:kern w:val="2"/>
          <w:sz w:val="28"/>
          <w:szCs w:val="28"/>
          <w:lang w:val="en-US" w:eastAsia="zh-CN" w:bidi="ar-SA"/>
        </w:rPr>
        <w:t>4.2专用部分</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27D035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80" w:firstLineChars="10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本项目实施所依据的标准与规范（含未逐一列明的相关文件），遵循以下原则执行：凡未明确标注生效日期的，统一采用其现行最新版本；在项目实施期间，若相关标准或规范发布更新版本，均须同步执行该最新版本，确保项目合规性与技术先进性。具体标准和规范如下所示：</w:t>
      </w:r>
    </w:p>
    <w:p w14:paraId="354891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《火力发电厂安全性评价》；</w:t>
      </w:r>
    </w:p>
    <w:p w14:paraId="588634E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《防止电力生产事故的二十五项重点要求》；</w:t>
      </w:r>
    </w:p>
    <w:p w14:paraId="5BCF19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《火力发电厂安全文明生产达标与创一流规定》；</w:t>
      </w:r>
    </w:p>
    <w:p w14:paraId="64E18DB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《电力建设施工、验收及质量验评标准汇编》；</w:t>
      </w:r>
    </w:p>
    <w:p w14:paraId="4CD4140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《电力建设施工及验收技术规范》（2021年版）；</w:t>
      </w:r>
    </w:p>
    <w:p w14:paraId="5F096E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《火电施工质量检验及评定标准》（2018年版）；</w:t>
      </w:r>
    </w:p>
    <w:p w14:paraId="67FAB52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《火力发电厂金属技术监督规程》DL/T 438—2023；</w:t>
      </w:r>
    </w:p>
    <w:p w14:paraId="673E98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《火力发电厂焊接技术规程》DL/T 869—2021；</w:t>
      </w:r>
    </w:p>
    <w:p w14:paraId="6158350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《焊接工艺评定规程》DL/T 19868-2005；</w:t>
      </w:r>
    </w:p>
    <w:p w14:paraId="6F28981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《发电企业设备检修导则》DL/T838-2024；</w:t>
      </w:r>
    </w:p>
    <w:p w14:paraId="47FA40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《火电发电厂保温油漆设计规程》DL/T5072-2019；</w:t>
      </w:r>
    </w:p>
    <w:p w14:paraId="6D322EC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《火电发电厂保温材料技术条件》DL/T776-2019；</w:t>
      </w:r>
    </w:p>
    <w:p w14:paraId="5130C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《火电发电厂金属材料选用导则》DL/T715-2015；</w:t>
      </w:r>
    </w:p>
    <w:p w14:paraId="21481E8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《电力建设施工质量验收及评定规程》DL/T5210.1-2021；</w:t>
      </w:r>
    </w:p>
    <w:p w14:paraId="1E6C41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《承压设备无损检测》JB/T 4730.1～4730.6-2023；</w:t>
      </w:r>
    </w:p>
    <w:p w14:paraId="603FBCA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《特种设备焊接操作人员考核细则》TSG Z6002-2010；</w:t>
      </w:r>
    </w:p>
    <w:p w14:paraId="2B67A7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《火电发电厂耐火材料技术条件》DL/T777-2024；</w:t>
      </w:r>
    </w:p>
    <w:p w14:paraId="3F132DB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《电力设备典型消防规程》DL 5027-2015；</w:t>
      </w:r>
    </w:p>
    <w:p w14:paraId="3D6C0C1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《电力建设工程施工安全管理导则》NB/T10096-2018；</w:t>
      </w:r>
    </w:p>
    <w:p w14:paraId="75BCD0F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color w:val="000000" w:themeColor="text1"/>
          <w:kern w:val="2"/>
          <w:lang w:eastAsia="zh-CN"/>
          <w14:textFill>
            <w14:solidFill>
              <w14:schemeClr w14:val="tx1"/>
            </w14:solidFill>
          </w14:textFill>
        </w:rPr>
      </w:pPr>
      <w:r>
        <w:rPr>
          <w:rFonts w:hint="eastAsia" w:ascii="仿宋" w:hAnsi="仿宋" w:eastAsia="仿宋" w:cs="仿宋"/>
          <w:bCs/>
          <w:kern w:val="2"/>
          <w:sz w:val="28"/>
          <w:szCs w:val="28"/>
          <w:lang w:val="en-US" w:eastAsia="zh-CN" w:bidi="ar-SA"/>
        </w:rPr>
        <w:t>《电力建设施工质量验收及评定规程》DL/T 5210.1-2021。</w:t>
      </w:r>
    </w:p>
    <w:p w14:paraId="3A2C5451">
      <w:pPr>
        <w:numPr>
          <w:ilvl w:val="0"/>
          <w:numId w:val="0"/>
        </w:numPr>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五、双方权利与职责</w:t>
      </w:r>
    </w:p>
    <w:p w14:paraId="11DD85CC">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5.1招标方权利及职责</w:t>
      </w:r>
    </w:p>
    <w:p w14:paraId="740993B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5.1.1提供必要的项目资料；负责确认投标方的所有资料、图纸和技术文件，经招标方认可后的图纸和技术文件方可用于本项目的正式文件。</w:t>
      </w:r>
    </w:p>
    <w:p w14:paraId="300FA99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5.1.2项目管理、协调、验收。</w:t>
      </w:r>
    </w:p>
    <w:p w14:paraId="2784D2B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5.1.3协助本项目所使用车辆进出厂相关手续办理。</w:t>
      </w:r>
    </w:p>
    <w:p w14:paraId="4DD57AA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5.1.4招标方不提供生产、生活及办公设施，由投标方自行解决。</w:t>
      </w:r>
    </w:p>
    <w:p w14:paraId="7CD947E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5.1.5招标方提供现场的检修电源、水源、气源接口。</w:t>
      </w:r>
    </w:p>
    <w:p w14:paraId="2EED5E3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委派项目负责人（包括安全文明负责人、技术负责人，以下均称招标方代表）全面负责本合同项目的技术质量、工程管理和安全监护；</w:t>
      </w:r>
    </w:p>
    <w:p w14:paraId="1EF4A1D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5.1.6组织对投标方进行工程施工前的安全交底、技术交底；</w:t>
      </w:r>
    </w:p>
    <w:p w14:paraId="5A9EF4D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5.1.7协调处理施工场地周围设备、建（构）筑物的保护工作；</w:t>
      </w:r>
    </w:p>
    <w:p w14:paraId="612B66A9">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5.1.8负责工程量增减签证手续，负责中间验收、竣工验收和其他必须的签证；</w:t>
      </w:r>
    </w:p>
    <w:p w14:paraId="00366C5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5.1.9向投标方宣贯本公司的环境方针、职业安全卫生方针；</w:t>
      </w:r>
    </w:p>
    <w:p w14:paraId="6337F3C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5.1.10向投标方说明废物收集方法、堆放、处置；</w:t>
      </w:r>
    </w:p>
    <w:p w14:paraId="1325DA8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5.2投标方职责</w:t>
      </w:r>
    </w:p>
    <w:p w14:paraId="353D7260">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5.2.1负责提供本工程所需所有消耗性材料和施工所需工机具及专业工具。</w:t>
      </w:r>
    </w:p>
    <w:p w14:paraId="340D7A5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5.2.2负责电源接口到临时电气设备的接线，投标方自己负责检查所使用电气设备是否正常，投标方的电气设备损坏由投标方自己负责处理。</w:t>
      </w:r>
    </w:p>
    <w:p w14:paraId="6FEB4944">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5.2.3 负责临时、检修电源的敷设工作；临时电源敷设完成，由招标方负责验收并挂牌，表示该临时电源合格，可以正常投入使用。</w:t>
      </w:r>
    </w:p>
    <w:p w14:paraId="121281B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5.2.4办公及食宿自理。</w:t>
      </w:r>
    </w:p>
    <w:p w14:paraId="41E592D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5.2.5投标方的项目负责人应有5年以上工作经验，身体健康，无犯罪记录。</w:t>
      </w:r>
    </w:p>
    <w:p w14:paraId="39044D7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5.2.6 投标方负责本项目的其他人员应有3年以上工作经验并具有相关特种作业证件，身体健康，无犯罪记录。</w:t>
      </w:r>
    </w:p>
    <w:p w14:paraId="78CF1336">
      <w:pPr>
        <w:numPr>
          <w:ilvl w:val="0"/>
          <w:numId w:val="0"/>
        </w:numPr>
        <w:spacing w:line="360" w:lineRule="auto"/>
        <w:ind w:firstLine="280" w:firstLineChars="100"/>
        <w:rPr>
          <w:rFonts w:hint="eastAsia" w:ascii="仿宋" w:hAnsi="仿宋" w:eastAsia="仿宋" w:cs="仿宋"/>
          <w:sz w:val="28"/>
          <w:szCs w:val="28"/>
          <w:lang w:val="en-US" w:eastAsia="zh-CN"/>
        </w:rPr>
      </w:pPr>
      <w:bookmarkStart w:id="118" w:name="_Toc12389"/>
      <w:bookmarkStart w:id="119" w:name="_Toc6994"/>
      <w:r>
        <w:rPr>
          <w:rFonts w:hint="eastAsia" w:ascii="仿宋" w:hAnsi="仿宋" w:eastAsia="仿宋" w:cs="仿宋"/>
          <w:sz w:val="28"/>
          <w:szCs w:val="28"/>
          <w:lang w:val="en-US" w:eastAsia="zh-CN"/>
        </w:rPr>
        <w:t>5.2 .7人员数量</w:t>
      </w:r>
      <w:bookmarkEnd w:id="118"/>
      <w:bookmarkEnd w:id="119"/>
      <w:r>
        <w:rPr>
          <w:rFonts w:hint="eastAsia" w:ascii="仿宋" w:hAnsi="仿宋" w:eastAsia="仿宋" w:cs="仿宋"/>
          <w:sz w:val="28"/>
          <w:szCs w:val="28"/>
          <w:lang w:val="en-US" w:eastAsia="zh-CN"/>
        </w:rPr>
        <w:t xml:space="preserve"> 由投标方根据现场工作情况决定。</w:t>
      </w:r>
    </w:p>
    <w:p w14:paraId="4B859465">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5.2.8施工过程中使用工器具由投标方自行负责，且工器具不应少于2套。</w:t>
      </w:r>
    </w:p>
    <w:p w14:paraId="11029B1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5.2.9应在指定范围内工作，爱护生产现场设施。</w:t>
      </w:r>
    </w:p>
    <w:p w14:paraId="1FB4A8F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5.2.10根据招标方要求负责本工程全部的设计和计算，确定方案，并对方案的正确性负责。</w:t>
      </w:r>
    </w:p>
    <w:p w14:paraId="7F5BCD8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5.2.11设计方案中应有强调校核计算说明，供招标方审核，材料规格、材质清单，必须将设计方案和施工方案向招标方人员进行详细解释和说明。</w:t>
      </w:r>
    </w:p>
    <w:p w14:paraId="7DEBE37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5.2.12投标方必须根据设计以及相关的施工标准独立完成工程内容和所涉及的辅助工作。</w:t>
      </w:r>
    </w:p>
    <w:p w14:paraId="7EC3A4AE">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5.2.13在施工过程中，对重要的工序或质量控制点必须报请招标方验收或见证。</w:t>
      </w:r>
    </w:p>
    <w:p w14:paraId="03C8CEC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5.2.14施工人员必须遵守招标方现场有关的规章制度，如因投标方原因引起的人身及设备事故，由投标方负全责。</w:t>
      </w:r>
    </w:p>
    <w:p w14:paraId="181E8EAB">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5.2.15必须编写改造所需的作业指导书，经招标方审核后生效。</w:t>
      </w:r>
    </w:p>
    <w:p w14:paraId="64CAF88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5.2.16由于施工质量不良和措施不当引起的设备故障，造成的直接或间接损失，全部由投标方承担，投标方同时承担相关的法律责任。</w:t>
      </w:r>
    </w:p>
    <w:p w14:paraId="4D4BCEF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5.2.17在设计、改造、施工过程中发现的问题未包括在协议范围内，投标方必须以书面形式对本技术协议书的条文提出异议，在得到招标方的确认后生效。</w:t>
      </w:r>
      <w:bookmarkStart w:id="120" w:name="_Toc13933"/>
      <w:bookmarkStart w:id="121" w:name="_Toc11041"/>
    </w:p>
    <w:p w14:paraId="027906AD">
      <w:pPr>
        <w:numPr>
          <w:ilvl w:val="0"/>
          <w:numId w:val="0"/>
        </w:numPr>
        <w:spacing w:line="360" w:lineRule="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六、</w:t>
      </w:r>
      <w:r>
        <w:rPr>
          <w:rFonts w:hint="eastAsia" w:ascii="仿宋" w:hAnsi="仿宋" w:eastAsia="仿宋" w:cs="仿宋"/>
          <w:b/>
          <w:bCs/>
          <w:sz w:val="28"/>
          <w:szCs w:val="28"/>
          <w:lang w:val="en-US" w:eastAsia="zh-CN"/>
        </w:rPr>
        <w:t>文明施工要求</w:t>
      </w:r>
      <w:bookmarkEnd w:id="120"/>
      <w:bookmarkEnd w:id="121"/>
    </w:p>
    <w:p w14:paraId="7F8CCCFB">
      <w:pPr>
        <w:numPr>
          <w:ilvl w:val="0"/>
          <w:numId w:val="0"/>
        </w:numPr>
        <w:spacing w:line="360" w:lineRule="auto"/>
        <w:ind w:firstLine="280" w:firstLineChars="100"/>
        <w:rPr>
          <w:rFonts w:hint="eastAsia" w:ascii="仿宋" w:hAnsi="仿宋" w:eastAsia="仿宋" w:cs="仿宋"/>
          <w:sz w:val="28"/>
          <w:szCs w:val="28"/>
          <w:lang w:val="en-US" w:eastAsia="zh-CN"/>
        </w:rPr>
      </w:pPr>
      <w:bookmarkStart w:id="122" w:name="_Toc4605"/>
      <w:bookmarkStart w:id="123" w:name="_Toc8485"/>
      <w:r>
        <w:rPr>
          <w:rFonts w:hint="eastAsia" w:ascii="仿宋" w:hAnsi="仿宋" w:eastAsia="仿宋" w:cs="仿宋"/>
          <w:sz w:val="28"/>
          <w:szCs w:val="28"/>
          <w:lang w:val="en-US" w:eastAsia="zh-CN"/>
        </w:rPr>
        <w:t>6.1 文明生产管理</w:t>
      </w:r>
      <w:bookmarkEnd w:id="122"/>
      <w:bookmarkEnd w:id="123"/>
    </w:p>
    <w:p w14:paraId="76D3DD70">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投标方人员现场调试时必须遵守招标方现场安全工作协议，并遵守现场监护人员安全管理要求。</w:t>
      </w:r>
    </w:p>
    <w:p w14:paraId="7C889203">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 在施工区域必须文明施工，遵守招标方有关文明生产的文件、规定、考核办法。</w:t>
      </w:r>
    </w:p>
    <w:p w14:paraId="44566689">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6.1.2 投标方在现场的工作人员应着装统一，佩带明显的能够表明身份的标牌。</w:t>
      </w:r>
    </w:p>
    <w:p w14:paraId="2162C634">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6.1.3 施工区域应设置围栏、警戒线、挂警示牌和标志牌。</w:t>
      </w:r>
    </w:p>
    <w:p w14:paraId="6815505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6.1.4 在施工过程中的设备、使用的工器具、备品备件，不仅要摆放整齐，而且下面必须铺设防止地面和设备损坏的胶皮或其他铺垫物。达到作业现场整洁、美观，实现作业现场人流、物流的畅通无阻。</w:t>
      </w:r>
    </w:p>
    <w:p w14:paraId="322517D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6.1.5 在施工过程中，投标方应随时保持所负责施工区域、工艺管道、电缆桥架、地面、墙体、栏杆、门窗、钢梁、平台等的整洁与卫生，对施工产生的工业废料和垃圾要及时进行处理，做到“工完、料净、场地清”。</w:t>
      </w:r>
    </w:p>
    <w:p w14:paraId="0E80E34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6.1.6 在施工过程中，投标方不得随意在设备、结构、墙板、楼道上开孔或焊接（施工方案中注明的除外），必要时须提出书面申请，经招标方设备部批准后方可实施。</w:t>
      </w:r>
    </w:p>
    <w:p w14:paraId="397E565E">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6.1.7 在施工过程中，清灰同时采取有效措施，防止灰、保温材料的飞扬，以保证施工进场的文明、卫生，防止污染影响。</w:t>
      </w:r>
    </w:p>
    <w:p w14:paraId="6F442C3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6.1.8 在施工过程中，投标方应采取一切合理措施，保护现场及周围的环境，避免污染、噪音或由于其设备施工方法的不当造成的对公共人员和财产等的危害或干扰。如污染形成，除按规定进行考核外，投标方还在规定时间内消除污染所造成的后果。</w:t>
      </w:r>
    </w:p>
    <w:p w14:paraId="43A718F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6.1.9投标方人员不得损坏丢失、勿动勿碰设备、设施，如有设施、设备损坏或丢失应照价赔偿，由此产生的所有责任及后果由投标方承担。</w:t>
      </w:r>
    </w:p>
    <w:p w14:paraId="3D3ADA4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6.1.10 每项施工结束后，投标方对施工区域进行彻底清扫，现场整洁将作为验收的一项内容。</w:t>
      </w:r>
    </w:p>
    <w:p w14:paraId="61C444B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6.1.11 投标方在工程尾期，现场清理干净，将招标方负责提供的所有物资（如剩余备件、材料以及借用的各种专用工具等）归还招标方并按照招标方要求放置在指定位置。</w:t>
      </w:r>
    </w:p>
    <w:p w14:paraId="7818A327">
      <w:pPr>
        <w:numPr>
          <w:ilvl w:val="0"/>
          <w:numId w:val="0"/>
        </w:numPr>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七、技术资料</w:t>
      </w:r>
    </w:p>
    <w:p w14:paraId="49F49C9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 提供的资料使用国家法定单位制，语言为中文。</w:t>
      </w:r>
    </w:p>
    <w:p w14:paraId="0349BCD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7.2 提供资料的组织结构清晰、逻辑性强，资料内容要正确、准确、一致、清晰完整，满足工程要求。</w:t>
      </w:r>
    </w:p>
    <w:p w14:paraId="0CA889C7">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7.3负责编制施工方案并组织施工，作好施工期间的记录，检修完成及时总结单项检修技术资料交招标方审核、存档。</w:t>
      </w:r>
    </w:p>
    <w:p w14:paraId="30EE4025">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7.4应提供设备使用说明书、检修安装、维护保养、紧急处理说明书。</w:t>
      </w:r>
    </w:p>
    <w:p w14:paraId="7601E50E">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7.5必须对招标方相关人员进行培训，必须详细介绍设备的性能特点和相关技术标准，并提供详尽的技术资料（含《原煤仓分仓改造施工总结报告》）和设备改造图纸6套。</w:t>
      </w:r>
    </w:p>
    <w:p w14:paraId="464D98B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7.6由投标方供应的所有配件出厂时，必须有投标方签发的产品质量合格证书，作为交货的质量证明文件。</w:t>
      </w:r>
    </w:p>
    <w:p w14:paraId="7E4D136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7.7应提供原煤仓分仓改造的设计方案、人员组织措施、施工方案、施工质量标准、确保达到要求的技术指标。</w:t>
      </w:r>
    </w:p>
    <w:p w14:paraId="5233AFE5">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7.8应提供备品备件总清单和易损零件图。</w:t>
      </w:r>
    </w:p>
    <w:p w14:paraId="60B26ED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7.9应提供详细的产品质量文件,包括材质、材质检验、焊接、热处理，加工质量，外形尺寸。</w:t>
      </w:r>
    </w:p>
    <w:p w14:paraId="6E58723C">
      <w:pPr>
        <w:numPr>
          <w:ilvl w:val="0"/>
          <w:numId w:val="0"/>
        </w:numPr>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八、检验及质量保证</w:t>
      </w:r>
    </w:p>
    <w:p w14:paraId="33B6E0D2">
      <w:pPr>
        <w:numPr>
          <w:ilvl w:val="0"/>
          <w:numId w:val="0"/>
        </w:numPr>
        <w:spacing w:line="360" w:lineRule="auto"/>
        <w:ind w:firstLine="280" w:firstLineChars="100"/>
        <w:rPr>
          <w:rFonts w:hint="eastAsia" w:ascii="仿宋" w:hAnsi="仿宋" w:eastAsia="仿宋" w:cs="仿宋"/>
          <w:sz w:val="28"/>
          <w:szCs w:val="28"/>
          <w:lang w:val="en-US" w:eastAsia="zh-CN"/>
        </w:rPr>
      </w:pPr>
      <w:bookmarkStart w:id="124" w:name="_Toc13149"/>
      <w:bookmarkStart w:id="125" w:name="_Toc24192"/>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"_Toc380910596"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8.1 概述</w:t>
      </w:r>
      <w:r>
        <w:rPr>
          <w:rFonts w:hint="eastAsia" w:ascii="仿宋" w:hAnsi="仿宋" w:eastAsia="仿宋" w:cs="仿宋"/>
          <w:sz w:val="28"/>
          <w:szCs w:val="28"/>
          <w:lang w:val="en-US" w:eastAsia="zh-CN"/>
        </w:rPr>
        <w:fldChar w:fldCharType="end"/>
      </w:r>
      <w:bookmarkEnd w:id="124"/>
      <w:bookmarkEnd w:id="125"/>
    </w:p>
    <w:p w14:paraId="68CB6A36">
      <w:pPr>
        <w:numPr>
          <w:ilvl w:val="0"/>
          <w:numId w:val="0"/>
        </w:numPr>
        <w:spacing w:line="360" w:lineRule="auto"/>
        <w:ind w:firstLine="280" w:firstLineChars="100"/>
        <w:rPr>
          <w:rFonts w:hint="eastAsia" w:ascii="仿宋" w:hAnsi="仿宋" w:eastAsia="仿宋" w:cs="仿宋"/>
          <w:sz w:val="28"/>
          <w:szCs w:val="28"/>
          <w:lang w:val="en-US" w:eastAsia="zh-CN"/>
        </w:rPr>
      </w:pPr>
      <w:bookmarkStart w:id="126" w:name="_Toc10697"/>
      <w:r>
        <w:rPr>
          <w:rFonts w:hint="eastAsia" w:ascii="仿宋" w:hAnsi="仿宋" w:eastAsia="仿宋" w:cs="仿宋"/>
          <w:sz w:val="28"/>
          <w:szCs w:val="28"/>
          <w:lang w:val="en-US" w:eastAsia="zh-CN"/>
        </w:rPr>
        <w:t>8.1.1 本章节用于合同执行期间对投标方所提供的设备产品（包括对分包外购设备）进行检查和性能验收试验，确保投标方所提供的设备符合技术规范中规定的要求。</w:t>
      </w:r>
    </w:p>
    <w:p w14:paraId="7F0D69C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8.1.2合同生效后投标方向招标方提供与本合同设备有关的监造、检查和性能验收试验标准。有关标准符合技术规范内容的规定。</w:t>
      </w:r>
    </w:p>
    <w:p w14:paraId="52F258EF">
      <w:pPr>
        <w:numPr>
          <w:ilvl w:val="0"/>
          <w:numId w:val="0"/>
        </w:numPr>
        <w:spacing w:line="360" w:lineRule="auto"/>
        <w:ind w:firstLine="280" w:firstLineChars="100"/>
        <w:rPr>
          <w:rFonts w:hint="eastAsia" w:ascii="仿宋" w:hAnsi="仿宋" w:eastAsia="仿宋" w:cs="仿宋"/>
          <w:sz w:val="28"/>
          <w:szCs w:val="28"/>
          <w:lang w:val="en-US" w:eastAsia="zh-CN"/>
        </w:rPr>
      </w:pPr>
      <w:bookmarkStart w:id="127" w:name="_Toc18881"/>
      <w:bookmarkStart w:id="128" w:name="_Toc7128"/>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"_Toc380910597"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8.2 材料试验</w:t>
      </w:r>
      <w:r>
        <w:rPr>
          <w:rFonts w:hint="eastAsia" w:ascii="仿宋" w:hAnsi="仿宋" w:eastAsia="仿宋" w:cs="仿宋"/>
          <w:sz w:val="28"/>
          <w:szCs w:val="28"/>
          <w:lang w:val="en-US" w:eastAsia="zh-CN"/>
        </w:rPr>
        <w:fldChar w:fldCharType="end"/>
      </w:r>
      <w:bookmarkEnd w:id="126"/>
      <w:bookmarkEnd w:id="127"/>
      <w:bookmarkEnd w:id="128"/>
    </w:p>
    <w:p w14:paraId="516F2CE1">
      <w:pPr>
        <w:numPr>
          <w:ilvl w:val="0"/>
          <w:numId w:val="0"/>
        </w:numPr>
        <w:spacing w:line="360" w:lineRule="auto"/>
        <w:ind w:firstLine="280" w:firstLineChars="100"/>
        <w:rPr>
          <w:rFonts w:hint="eastAsia" w:ascii="仿宋" w:hAnsi="仿宋" w:eastAsia="仿宋" w:cs="仿宋"/>
          <w:sz w:val="28"/>
          <w:szCs w:val="28"/>
          <w:lang w:val="en-US" w:eastAsia="zh-CN"/>
        </w:rPr>
      </w:pPr>
      <w:bookmarkStart w:id="129" w:name="_Toc30276"/>
      <w:r>
        <w:rPr>
          <w:rFonts w:hint="eastAsia" w:ascii="仿宋" w:hAnsi="仿宋" w:eastAsia="仿宋" w:cs="仿宋"/>
          <w:sz w:val="28"/>
          <w:szCs w:val="28"/>
          <w:lang w:val="en-US" w:eastAsia="zh-CN"/>
        </w:rPr>
        <w:t>投标方必须按照有关材料规范规定对所需材料进行相关的检验、检查和试验，并将检验、试验的报告和证明提交给招标方。</w:t>
      </w:r>
    </w:p>
    <w:p w14:paraId="427AEBD0">
      <w:pPr>
        <w:numPr>
          <w:ilvl w:val="0"/>
          <w:numId w:val="0"/>
        </w:numPr>
        <w:spacing w:line="360" w:lineRule="auto"/>
        <w:ind w:firstLine="280" w:firstLineChars="100"/>
        <w:rPr>
          <w:rFonts w:hint="eastAsia" w:ascii="仿宋" w:hAnsi="仿宋" w:eastAsia="仿宋" w:cs="仿宋"/>
          <w:sz w:val="28"/>
          <w:szCs w:val="28"/>
          <w:lang w:val="en-US" w:eastAsia="zh-CN"/>
        </w:rPr>
      </w:pPr>
      <w:bookmarkStart w:id="130" w:name="_Toc23908"/>
      <w:bookmarkStart w:id="131" w:name="_Toc10869"/>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"_Toc380910598"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8.3 工厂检验和试验</w:t>
      </w:r>
      <w:r>
        <w:rPr>
          <w:rFonts w:hint="eastAsia" w:ascii="仿宋" w:hAnsi="仿宋" w:eastAsia="仿宋" w:cs="仿宋"/>
          <w:sz w:val="28"/>
          <w:szCs w:val="28"/>
          <w:lang w:val="en-US" w:eastAsia="zh-CN"/>
        </w:rPr>
        <w:fldChar w:fldCharType="end"/>
      </w:r>
      <w:bookmarkEnd w:id="129"/>
      <w:bookmarkEnd w:id="130"/>
      <w:bookmarkEnd w:id="131"/>
    </w:p>
    <w:p w14:paraId="799BAF8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工厂检验和试验是质量控制的一个重要组成部分。投标方须严格进行厂内各生产环节的检验和试验。招标方提供的合同设备须签发质量证明、检验记录和测试报告，并且作为交货时质量证明文件的组成部分。</w:t>
      </w:r>
    </w:p>
    <w:p w14:paraId="4C153B7B">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投标方提供材料证明书和工厂试验数据，以证实符合技术规范书和合同的要求。对于一些重要的检查和试验项目，招标方有权派代表参加，投标方在试验前规定的时间内通知招标方。</w:t>
      </w:r>
    </w:p>
    <w:p w14:paraId="3E921EC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工厂检验和试验的范围包括原材料的进厂，部件的加工、组装、试验至出厂试验。</w:t>
      </w:r>
    </w:p>
    <w:p w14:paraId="5A10D564">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投标方检验的结果要满足相关规定的要求，如有不符之处或达不到标准要求，投标方要采取措施处理直至满足要求，同时向招标方提交不一致性报告。投标方发生重大质量问题时将情况及时通知招标方。</w:t>
      </w:r>
    </w:p>
    <w:p w14:paraId="78F30E59">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8.4质量保证</w:t>
      </w:r>
    </w:p>
    <w:p w14:paraId="528274EF">
      <w:pPr>
        <w:numPr>
          <w:ilvl w:val="0"/>
          <w:numId w:val="8"/>
        </w:numPr>
        <w:spacing w:line="360" w:lineRule="auto"/>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质保期为12个月，从项目施工完成验收合格并投入运行后开始计算。质保期内改造后原煤仓分仓隔板、钢结构有变形、脱落等，投标人返工后达不到要求的扣除合同款10%并进一步处理，直至正常，处理期间给招标方设备运行造成损失，由投标方负担；</w:t>
      </w:r>
    </w:p>
    <w:p w14:paraId="3BCA01E4">
      <w:pPr>
        <w:numPr>
          <w:ilvl w:val="0"/>
          <w:numId w:val="0"/>
        </w:numPr>
        <w:spacing w:line="360" w:lineRule="auto"/>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（2）质保期内原煤仓煤种切换过程中，给煤机给煤量波动达到30t/h以上或导致给煤机跳闸，投标人返工后达不到要求的，每次扣除合同款2%；</w:t>
      </w:r>
    </w:p>
    <w:p w14:paraId="5270539E">
      <w:pPr>
        <w:numPr>
          <w:ilvl w:val="0"/>
          <w:numId w:val="0"/>
        </w:numPr>
        <w:spacing w:line="360" w:lineRule="auto"/>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（3）煤种切换时间超过1min投标人返工后达不到要求的，扣除合同款2%；</w:t>
      </w:r>
    </w:p>
    <w:p w14:paraId="046D1C06">
      <w:pPr>
        <w:numPr>
          <w:ilvl w:val="0"/>
          <w:numId w:val="0"/>
        </w:numPr>
        <w:spacing w:line="360" w:lineRule="auto"/>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（4）质保期内插板门无法实现DCS操作，或DCS操作失灵，投标人返工后达不到要求的，每次扣除合同款2%；</w:t>
      </w:r>
    </w:p>
    <w:p w14:paraId="10BB05B9">
      <w:pPr>
        <w:numPr>
          <w:ilvl w:val="0"/>
          <w:numId w:val="0"/>
        </w:numPr>
        <w:spacing w:line="360" w:lineRule="auto"/>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（5）质保期内双向液动插板门质保期内发生卡涩情况投标人返工后达不到要求的，每次扣除合同款2%；</w:t>
      </w:r>
    </w:p>
    <w:p w14:paraId="436468D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（6）质保期内机组启动原煤仓运行后，在全水分小于25%的情况下发生断煤且清堵机投入后无效一次扣除合同款2%；</w:t>
      </w:r>
    </w:p>
    <w:p w14:paraId="077E814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如本项目经竣工验收未能达到本技术协议书所规定的技术标准要求时，视为竣工验收不合格，投标人无条件在招标人给定时间内对缺陷部位进行处理。如果投标人在招标人给定时间内完成了缺陷处理，按剩余款项的15%处罚；竣工验收顺延至缺陷处理完毕后2个月进行；</w:t>
      </w:r>
    </w:p>
    <w:p w14:paraId="560E261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（8）如果投标人不能修复缺陷，视为投标人无能力完成本项目，后续合同款将不再支付；</w:t>
      </w:r>
    </w:p>
    <w:p w14:paraId="4CDF9AF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（9）质保期内对于因所供材料质量问题、供货产品质量原因或设计、制造工艺等投标方原因造成的设备损坏事故或未达到设计预期效果，投标方应负责赔偿直接损失，并免费维修、更换备件；</w:t>
      </w:r>
    </w:p>
    <w:p w14:paraId="502F97F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（10）质保期内现场服务响应时间为48小时内赶到电厂现场。保质期后如招标方有必要请投标方人员到现场服务时，投标方人员应及时到现场服务。</w:t>
      </w:r>
    </w:p>
    <w:p w14:paraId="14B40F5C">
      <w:pPr>
        <w:pStyle w:val="22"/>
        <w:numPr>
          <w:ilvl w:val="0"/>
          <w:numId w:val="0"/>
        </w:numPr>
        <w:ind w:leftChars="0"/>
        <w:rPr>
          <w:rFonts w:hint="default"/>
          <w:lang w:val="en-US" w:eastAsia="zh-CN"/>
        </w:rPr>
      </w:pPr>
      <w:r>
        <w:rPr>
          <w:rFonts w:hint="eastAsia" w:ascii="仿宋" w:hAnsi="仿宋" w:eastAsia="仿宋" w:cs="仿宋"/>
          <w:b/>
          <w:bCs/>
          <w:sz w:val="28"/>
          <w:szCs w:val="28"/>
          <w:lang w:val="en-US" w:eastAsia="zh-CN"/>
        </w:rPr>
        <w:t>九、工作范围及工期</w:t>
      </w:r>
    </w:p>
    <w:p w14:paraId="077F615E">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施工范围包括：本项目涵盖#2炉B、E原煤仓分仓改造。依托现有原煤仓主体结构，实施分仓隔断改造，将单仓仓体一分为二（四六分），实现两种不同煤质的同步预储与分区管控。改造后，在双仓仓体分别加装高精度智能液压插板门，可达成30至50秒内快速启停切换，实现煤种的高效切换与精准调控，充分适配高灰熔点煤种对机组负荷的快速响应需求，保障机组运行稳定性。</w:t>
      </w:r>
    </w:p>
    <w:p w14:paraId="4570A03D">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本项目工程量主要包括：</w:t>
      </w:r>
    </w:p>
    <w:p w14:paraId="0D063BB8">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（1）#2炉B、E原煤仓分仓改造所必需具备的工艺系统方案、钢梁及原煤仓应力计算及校核、项目实施图（竣工图）、系统控制逻辑方案；</w:t>
      </w:r>
    </w:p>
    <w:p w14:paraId="4C8E507D">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（2）所涉及设备包括中间隔板、空气炮(若需)、插板门等设备的选型、物资采购、安装、脚手架搭拆等工作；</w:t>
      </w:r>
    </w:p>
    <w:p w14:paraId="353B94DE">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（3）系统调试及试运行；</w:t>
      </w:r>
    </w:p>
    <w:p w14:paraId="1F110CED">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任何改造项目与非改造项目部件间的配合，或设备改造项目后参数与原参数之间的配合，在它们的衔接处即形成接口。改造项目部件适应非改造项目部件，改造项目部件适应非改造项目部件的一切工作均由投标方负责至接口处。同时，由于改造项目原因需要对非改造项目系统进行变动的部分也由投标方负责，且方案必须经招标方认可，如遇特殊情况经双方协商后确定。</w:t>
      </w:r>
    </w:p>
    <w:p w14:paraId="473E3AF4">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工期要求：计划于2026年4月20日开工，至2026年5月10日完工（暂定），具体以招标方通知为准。</w:t>
      </w:r>
    </w:p>
    <w:p w14:paraId="62FFBDDC">
      <w:pPr>
        <w:pStyle w:val="22"/>
        <w:numPr>
          <w:ilvl w:val="0"/>
          <w:numId w:val="0"/>
        </w:numPr>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十、供货范围及时间</w:t>
      </w:r>
    </w:p>
    <w:p w14:paraId="2F9C743F">
      <w:pPr>
        <w:spacing w:line="360" w:lineRule="auto"/>
        <w:ind w:firstLine="420" w:firstLineChars="200"/>
        <w:jc w:val="left"/>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投标人需遵守以下要求，</w:t>
      </w:r>
      <w:r>
        <w:rPr>
          <w:rFonts w:hint="eastAsia" w:ascii="仿宋" w:hAnsi="仿宋" w:eastAsia="仿宋" w:cs="仿宋"/>
          <w:sz w:val="28"/>
          <w:szCs w:val="28"/>
          <w:lang w:val="en-US" w:eastAsia="zh-CN"/>
        </w:rPr>
        <w:t>包括但不限于</w:t>
      </w:r>
      <w:r>
        <w:rPr>
          <w:rFonts w:hint="eastAsia" w:ascii="仿宋" w:hAnsi="仿宋" w:eastAsia="仿宋" w:cs="仿宋"/>
          <w:sz w:val="28"/>
          <w:szCs w:val="28"/>
        </w:rPr>
        <w:t>（单</w:t>
      </w:r>
      <w:r>
        <w:rPr>
          <w:rFonts w:hint="eastAsia" w:ascii="仿宋" w:hAnsi="仿宋" w:eastAsia="仿宋" w:cs="仿宋"/>
          <w:sz w:val="28"/>
          <w:szCs w:val="28"/>
          <w:lang w:val="en-US" w:eastAsia="zh-CN"/>
        </w:rPr>
        <w:t>个原煤仓</w:t>
      </w:r>
      <w:r>
        <w:rPr>
          <w:rFonts w:hint="eastAsia" w:ascii="仿宋" w:hAnsi="仿宋" w:eastAsia="仿宋" w:cs="仿宋"/>
          <w:sz w:val="28"/>
          <w:szCs w:val="28"/>
        </w:rPr>
        <w:t>，</w:t>
      </w:r>
      <w:r>
        <w:rPr>
          <w:rFonts w:hint="eastAsia" w:ascii="仿宋" w:hAnsi="仿宋" w:eastAsia="仿宋" w:cs="仿宋"/>
          <w:sz w:val="28"/>
          <w:szCs w:val="28"/>
          <w:lang w:val="en-US" w:eastAsia="zh-CN"/>
        </w:rPr>
        <w:t>共需2个原煤仓</w:t>
      </w:r>
      <w:r>
        <w:rPr>
          <w:rFonts w:hint="eastAsia" w:ascii="仿宋" w:hAnsi="仿宋" w:eastAsia="仿宋" w:cs="仿宋"/>
          <w:sz w:val="28"/>
          <w:szCs w:val="28"/>
        </w:rPr>
        <w:t>）</w:t>
      </w:r>
    </w:p>
    <w:p w14:paraId="0AA19549">
      <w:pPr>
        <w:numPr>
          <w:ilvl w:val="0"/>
          <w:numId w:val="9"/>
        </w:numPr>
        <w:spacing w:line="360" w:lineRule="auto"/>
        <w:ind w:left="0" w:leftChars="0" w:firstLine="0" w:firstLineChars="0"/>
        <w:jc w:val="left"/>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需在投标文件中详细列明本项目实施所需的全部设备及材料，若招标人认定某一设备为实现项目某项功能的必备设备，投标人应按要求配备；</w:t>
      </w:r>
    </w:p>
    <w:p w14:paraId="06E6B3A5">
      <w:pPr>
        <w:numPr>
          <w:ilvl w:val="0"/>
          <w:numId w:val="9"/>
        </w:numPr>
        <w:spacing w:line="360" w:lineRule="auto"/>
        <w:ind w:left="0" w:leftChars="0" w:firstLine="0" w:firstLineChars="0"/>
        <w:jc w:val="left"/>
        <w:rPr>
          <w:rFonts w:hint="eastAsia" w:ascii="仿宋" w:hAnsi="仿宋" w:eastAsia="仿宋" w:cs="仿宋"/>
          <w:sz w:val="28"/>
          <w:szCs w:val="28"/>
        </w:rPr>
      </w:pPr>
      <w:r>
        <w:rPr>
          <w:rFonts w:hint="eastAsia"/>
          <w:color w:val="000000" w:themeColor="text1"/>
          <w:kern w:val="2"/>
          <w:lang w:eastAsia="zh-CN"/>
          <w14:textFill>
            <w14:solidFill>
              <w14:schemeClr w14:val="tx1"/>
            </w14:solidFill>
          </w14:textFill>
        </w:rPr>
        <w:t>投标文件中所列设备均应为全新、先进、合格产品，同时提供主要设备的型号、技术参数等核心信息；</w:t>
      </w:r>
    </w:p>
    <w:p w14:paraId="008296EE">
      <w:pPr>
        <w:numPr>
          <w:ilvl w:val="0"/>
          <w:numId w:val="9"/>
        </w:numPr>
        <w:spacing w:line="360" w:lineRule="auto"/>
        <w:ind w:left="0" w:leftChars="0" w:firstLine="0" w:firstLineChars="0"/>
        <w:jc w:val="left"/>
        <w:rPr>
          <w:rFonts w:hint="eastAsia" w:ascii="仿宋" w:hAnsi="仿宋" w:eastAsia="仿宋" w:cs="仿宋"/>
          <w:sz w:val="28"/>
          <w:szCs w:val="28"/>
        </w:rPr>
      </w:pPr>
      <w:r>
        <w:rPr>
          <w:rFonts w:hint="eastAsia"/>
          <w:color w:val="000000" w:themeColor="text1"/>
          <w:kern w:val="2"/>
          <w:lang w:eastAsia="zh-CN"/>
          <w14:textFill>
            <w14:solidFill>
              <w14:schemeClr w14:val="tx1"/>
            </w14:solidFill>
          </w14:textFill>
        </w:rPr>
        <w:t>入厂时投标人需提供设备原产地证明或原厂家出具的证明文件，招标人对投标文件所列设备的性能、参数进行核查。投标人无法提供的，招标人有权拒绝验收。</w:t>
      </w:r>
    </w:p>
    <w:tbl>
      <w:tblPr>
        <w:tblStyle w:val="60"/>
        <w:tblW w:w="81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2112"/>
        <w:gridCol w:w="825"/>
        <w:gridCol w:w="905"/>
        <w:gridCol w:w="1282"/>
        <w:gridCol w:w="1436"/>
        <w:gridCol w:w="709"/>
      </w:tblGrid>
      <w:tr w14:paraId="0B5D5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75" w:type="dxa"/>
            <w:noWrap w:val="0"/>
            <w:tcMar>
              <w:top w:w="15" w:type="dxa"/>
              <w:left w:w="81" w:type="dxa"/>
              <w:bottom w:w="0" w:type="dxa"/>
              <w:right w:w="81" w:type="dxa"/>
            </w:tcMar>
            <w:vAlign w:val="center"/>
          </w:tcPr>
          <w:p w14:paraId="64FFEA35">
            <w:pPr>
              <w:spacing w:line="360" w:lineRule="auto"/>
              <w:ind w:left="0" w:leftChars="0" w:firstLine="0" w:firstLineChars="0"/>
              <w:jc w:val="both"/>
              <w:rPr>
                <w:rFonts w:hint="eastAsia" w:ascii="仿宋" w:hAnsi="仿宋" w:eastAsia="仿宋" w:cs="仿宋"/>
                <w:b/>
                <w:bCs/>
                <w:sz w:val="28"/>
                <w:szCs w:val="28"/>
              </w:rPr>
            </w:pPr>
            <w:r>
              <w:rPr>
                <w:rFonts w:hint="eastAsia" w:ascii="仿宋" w:hAnsi="仿宋" w:eastAsia="仿宋" w:cs="仿宋"/>
                <w:b/>
                <w:bCs/>
                <w:sz w:val="28"/>
                <w:szCs w:val="28"/>
              </w:rPr>
              <w:t>序号</w:t>
            </w:r>
          </w:p>
        </w:tc>
        <w:tc>
          <w:tcPr>
            <w:tcW w:w="2112" w:type="dxa"/>
            <w:noWrap w:val="0"/>
            <w:tcMar>
              <w:top w:w="15" w:type="dxa"/>
              <w:left w:w="81" w:type="dxa"/>
              <w:bottom w:w="0" w:type="dxa"/>
              <w:right w:w="81" w:type="dxa"/>
            </w:tcMar>
            <w:vAlign w:val="center"/>
          </w:tcPr>
          <w:p w14:paraId="102D3460">
            <w:pPr>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名称</w:t>
            </w:r>
          </w:p>
        </w:tc>
        <w:tc>
          <w:tcPr>
            <w:tcW w:w="825" w:type="dxa"/>
            <w:noWrap w:val="0"/>
            <w:tcMar>
              <w:top w:w="15" w:type="dxa"/>
              <w:left w:w="81" w:type="dxa"/>
              <w:bottom w:w="0" w:type="dxa"/>
              <w:right w:w="81" w:type="dxa"/>
            </w:tcMar>
            <w:vAlign w:val="center"/>
          </w:tcPr>
          <w:p w14:paraId="0ED3CF0B">
            <w:pPr>
              <w:spacing w:line="360" w:lineRule="auto"/>
              <w:ind w:left="0" w:leftChars="0" w:firstLine="0" w:firstLineChars="0"/>
              <w:jc w:val="both"/>
              <w:rPr>
                <w:rFonts w:hint="eastAsia" w:ascii="仿宋" w:hAnsi="仿宋" w:eastAsia="仿宋" w:cs="仿宋"/>
                <w:b/>
                <w:bCs/>
                <w:sz w:val="28"/>
                <w:szCs w:val="28"/>
              </w:rPr>
            </w:pPr>
            <w:r>
              <w:rPr>
                <w:rFonts w:hint="eastAsia" w:ascii="仿宋" w:hAnsi="仿宋" w:eastAsia="仿宋" w:cs="仿宋"/>
                <w:b/>
                <w:bCs/>
                <w:sz w:val="28"/>
                <w:szCs w:val="28"/>
              </w:rPr>
              <w:t>单位</w:t>
            </w:r>
          </w:p>
        </w:tc>
        <w:tc>
          <w:tcPr>
            <w:tcW w:w="905" w:type="dxa"/>
            <w:noWrap w:val="0"/>
            <w:tcMar>
              <w:top w:w="15" w:type="dxa"/>
              <w:left w:w="81" w:type="dxa"/>
              <w:bottom w:w="0" w:type="dxa"/>
              <w:right w:w="81" w:type="dxa"/>
            </w:tcMar>
            <w:vAlign w:val="center"/>
          </w:tcPr>
          <w:p w14:paraId="3643C525">
            <w:pPr>
              <w:spacing w:line="360" w:lineRule="auto"/>
              <w:ind w:left="0" w:leftChars="0" w:firstLine="0" w:firstLineChars="0"/>
              <w:jc w:val="both"/>
              <w:rPr>
                <w:rFonts w:hint="eastAsia" w:ascii="仿宋" w:hAnsi="仿宋" w:eastAsia="仿宋" w:cs="仿宋"/>
                <w:b/>
                <w:bCs/>
                <w:sz w:val="28"/>
                <w:szCs w:val="28"/>
              </w:rPr>
            </w:pPr>
            <w:r>
              <w:rPr>
                <w:rFonts w:hint="eastAsia" w:ascii="仿宋" w:hAnsi="仿宋" w:eastAsia="仿宋" w:cs="仿宋"/>
                <w:b/>
                <w:bCs/>
                <w:sz w:val="28"/>
                <w:szCs w:val="28"/>
              </w:rPr>
              <w:t>数量</w:t>
            </w:r>
          </w:p>
        </w:tc>
        <w:tc>
          <w:tcPr>
            <w:tcW w:w="1282" w:type="dxa"/>
            <w:noWrap w:val="0"/>
            <w:vAlign w:val="center"/>
          </w:tcPr>
          <w:p w14:paraId="1A2B385B">
            <w:pPr>
              <w:spacing w:line="360" w:lineRule="auto"/>
              <w:ind w:left="0" w:leftChars="0" w:firstLine="0" w:firstLineChars="0"/>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生</w:t>
            </w:r>
            <w:r>
              <w:rPr>
                <w:rFonts w:hint="eastAsia" w:ascii="仿宋" w:hAnsi="仿宋" w:eastAsia="仿宋" w:cs="仿宋"/>
                <w:b/>
                <w:bCs/>
                <w:sz w:val="28"/>
                <w:szCs w:val="28"/>
              </w:rPr>
              <w:t>产厂家</w:t>
            </w:r>
          </w:p>
        </w:tc>
        <w:tc>
          <w:tcPr>
            <w:tcW w:w="1436" w:type="dxa"/>
            <w:noWrap w:val="0"/>
            <w:vAlign w:val="center"/>
          </w:tcPr>
          <w:p w14:paraId="70849743">
            <w:pPr>
              <w:spacing w:line="360" w:lineRule="auto"/>
              <w:ind w:left="0" w:leftChars="0" w:firstLine="0" w:firstLineChars="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供货时间</w:t>
            </w:r>
          </w:p>
        </w:tc>
        <w:tc>
          <w:tcPr>
            <w:tcW w:w="709" w:type="dxa"/>
            <w:noWrap w:val="0"/>
            <w:vAlign w:val="center"/>
          </w:tcPr>
          <w:p w14:paraId="3B49E621">
            <w:pPr>
              <w:spacing w:line="360" w:lineRule="auto"/>
              <w:ind w:left="0" w:leftChars="0" w:firstLine="0" w:firstLineChars="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14:paraId="67AC2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75" w:type="dxa"/>
            <w:noWrap w:val="0"/>
            <w:tcMar>
              <w:top w:w="15" w:type="dxa"/>
              <w:left w:w="81" w:type="dxa"/>
              <w:bottom w:w="0" w:type="dxa"/>
              <w:right w:w="81" w:type="dxa"/>
            </w:tcMar>
            <w:vAlign w:val="center"/>
          </w:tcPr>
          <w:p w14:paraId="6D7C911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2112" w:type="dxa"/>
            <w:noWrap w:val="0"/>
            <w:tcMar>
              <w:top w:w="15" w:type="dxa"/>
              <w:left w:w="81" w:type="dxa"/>
              <w:bottom w:w="0" w:type="dxa"/>
              <w:right w:w="81" w:type="dxa"/>
            </w:tcMar>
            <w:vAlign w:val="center"/>
          </w:tcPr>
          <w:p w14:paraId="263FD293">
            <w:pPr>
              <w:spacing w:line="360" w:lineRule="auto"/>
              <w:ind w:left="0" w:leftChars="0" w:firstLine="0" w:firstLineChars="0"/>
              <w:rPr>
                <w:rFonts w:hint="eastAsia" w:ascii="仿宋" w:hAnsi="仿宋" w:eastAsia="仿宋" w:cs="仿宋"/>
                <w:sz w:val="28"/>
                <w:szCs w:val="28"/>
              </w:rPr>
            </w:pPr>
          </w:p>
        </w:tc>
        <w:tc>
          <w:tcPr>
            <w:tcW w:w="825" w:type="dxa"/>
            <w:noWrap w:val="0"/>
            <w:tcMar>
              <w:top w:w="15" w:type="dxa"/>
              <w:left w:w="81" w:type="dxa"/>
              <w:bottom w:w="0" w:type="dxa"/>
              <w:right w:w="81" w:type="dxa"/>
            </w:tcMar>
            <w:vAlign w:val="center"/>
          </w:tcPr>
          <w:p w14:paraId="4FD041FA">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套</w:t>
            </w:r>
          </w:p>
        </w:tc>
        <w:tc>
          <w:tcPr>
            <w:tcW w:w="905" w:type="dxa"/>
            <w:noWrap w:val="0"/>
            <w:tcMar>
              <w:top w:w="15" w:type="dxa"/>
              <w:left w:w="81" w:type="dxa"/>
              <w:bottom w:w="0" w:type="dxa"/>
              <w:right w:w="81" w:type="dxa"/>
            </w:tcMar>
            <w:vAlign w:val="center"/>
          </w:tcPr>
          <w:p w14:paraId="072A160D">
            <w:pPr>
              <w:spacing w:line="360" w:lineRule="auto"/>
              <w:rPr>
                <w:rFonts w:hint="eastAsia" w:ascii="仿宋" w:hAnsi="仿宋" w:eastAsia="仿宋" w:cs="仿宋"/>
                <w:sz w:val="28"/>
                <w:szCs w:val="28"/>
              </w:rPr>
            </w:pPr>
          </w:p>
        </w:tc>
        <w:tc>
          <w:tcPr>
            <w:tcW w:w="1282" w:type="dxa"/>
            <w:noWrap w:val="0"/>
            <w:vAlign w:val="top"/>
          </w:tcPr>
          <w:p w14:paraId="145AC532">
            <w:pPr>
              <w:spacing w:line="360" w:lineRule="auto"/>
              <w:rPr>
                <w:rFonts w:hint="eastAsia" w:ascii="仿宋" w:hAnsi="仿宋" w:eastAsia="仿宋" w:cs="仿宋"/>
                <w:sz w:val="28"/>
                <w:szCs w:val="28"/>
              </w:rPr>
            </w:pPr>
          </w:p>
        </w:tc>
        <w:tc>
          <w:tcPr>
            <w:tcW w:w="1436" w:type="dxa"/>
            <w:noWrap w:val="0"/>
            <w:vAlign w:val="top"/>
          </w:tcPr>
          <w:p w14:paraId="1BCE15E0">
            <w:pPr>
              <w:spacing w:line="360" w:lineRule="auto"/>
              <w:ind w:left="0" w:leftChars="0" w:firstLine="0" w:firstLineChars="0"/>
              <w:rPr>
                <w:rFonts w:hint="default" w:ascii="仿宋" w:hAnsi="仿宋" w:eastAsia="仿宋" w:cs="仿宋"/>
                <w:sz w:val="28"/>
                <w:szCs w:val="28"/>
                <w:lang w:val="en-US" w:eastAsia="zh-CN"/>
              </w:rPr>
            </w:pPr>
          </w:p>
        </w:tc>
        <w:tc>
          <w:tcPr>
            <w:tcW w:w="709" w:type="dxa"/>
            <w:noWrap w:val="0"/>
            <w:vAlign w:val="top"/>
          </w:tcPr>
          <w:p w14:paraId="69C956DB">
            <w:pPr>
              <w:spacing w:line="360" w:lineRule="auto"/>
              <w:rPr>
                <w:rFonts w:hint="eastAsia" w:ascii="仿宋" w:hAnsi="仿宋" w:eastAsia="仿宋" w:cs="仿宋"/>
                <w:sz w:val="28"/>
                <w:szCs w:val="28"/>
              </w:rPr>
            </w:pPr>
          </w:p>
        </w:tc>
      </w:tr>
      <w:tr w14:paraId="19CF5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75" w:type="dxa"/>
            <w:noWrap w:val="0"/>
            <w:tcMar>
              <w:top w:w="15" w:type="dxa"/>
              <w:left w:w="81" w:type="dxa"/>
              <w:bottom w:w="0" w:type="dxa"/>
              <w:right w:w="81" w:type="dxa"/>
            </w:tcMar>
            <w:vAlign w:val="center"/>
          </w:tcPr>
          <w:p w14:paraId="77BED06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2112" w:type="dxa"/>
            <w:noWrap w:val="0"/>
            <w:tcMar>
              <w:top w:w="15" w:type="dxa"/>
              <w:left w:w="81" w:type="dxa"/>
              <w:bottom w:w="0" w:type="dxa"/>
              <w:right w:w="81" w:type="dxa"/>
            </w:tcMar>
            <w:vAlign w:val="center"/>
          </w:tcPr>
          <w:p w14:paraId="6B35CFC0">
            <w:pPr>
              <w:spacing w:line="360" w:lineRule="auto"/>
              <w:ind w:left="0" w:leftChars="0" w:firstLine="0" w:firstLineChars="0"/>
              <w:rPr>
                <w:rFonts w:hint="eastAsia" w:ascii="仿宋" w:hAnsi="仿宋" w:eastAsia="仿宋" w:cs="仿宋"/>
                <w:sz w:val="28"/>
                <w:szCs w:val="28"/>
              </w:rPr>
            </w:pPr>
          </w:p>
        </w:tc>
        <w:tc>
          <w:tcPr>
            <w:tcW w:w="825" w:type="dxa"/>
            <w:noWrap w:val="0"/>
            <w:tcMar>
              <w:top w:w="15" w:type="dxa"/>
              <w:left w:w="81" w:type="dxa"/>
              <w:bottom w:w="0" w:type="dxa"/>
              <w:right w:w="81" w:type="dxa"/>
            </w:tcMar>
            <w:vAlign w:val="center"/>
          </w:tcPr>
          <w:p w14:paraId="0F7DEBB2">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套</w:t>
            </w:r>
          </w:p>
        </w:tc>
        <w:tc>
          <w:tcPr>
            <w:tcW w:w="905" w:type="dxa"/>
            <w:noWrap w:val="0"/>
            <w:tcMar>
              <w:top w:w="15" w:type="dxa"/>
              <w:left w:w="81" w:type="dxa"/>
              <w:bottom w:w="0" w:type="dxa"/>
              <w:right w:w="81" w:type="dxa"/>
            </w:tcMar>
            <w:vAlign w:val="center"/>
          </w:tcPr>
          <w:p w14:paraId="301F772D">
            <w:pPr>
              <w:spacing w:line="360" w:lineRule="auto"/>
              <w:rPr>
                <w:rFonts w:hint="eastAsia" w:ascii="仿宋" w:hAnsi="仿宋" w:eastAsia="仿宋" w:cs="仿宋"/>
                <w:sz w:val="28"/>
                <w:szCs w:val="28"/>
              </w:rPr>
            </w:pPr>
          </w:p>
        </w:tc>
        <w:tc>
          <w:tcPr>
            <w:tcW w:w="1282" w:type="dxa"/>
            <w:noWrap w:val="0"/>
            <w:vAlign w:val="top"/>
          </w:tcPr>
          <w:p w14:paraId="760282D4">
            <w:pPr>
              <w:spacing w:line="360" w:lineRule="auto"/>
              <w:rPr>
                <w:rFonts w:hint="eastAsia" w:ascii="仿宋" w:hAnsi="仿宋" w:eastAsia="仿宋" w:cs="仿宋"/>
                <w:sz w:val="28"/>
                <w:szCs w:val="28"/>
              </w:rPr>
            </w:pPr>
          </w:p>
        </w:tc>
        <w:tc>
          <w:tcPr>
            <w:tcW w:w="1436" w:type="dxa"/>
            <w:noWrap w:val="0"/>
            <w:vAlign w:val="top"/>
          </w:tcPr>
          <w:p w14:paraId="6D870467">
            <w:pPr>
              <w:spacing w:line="360" w:lineRule="auto"/>
              <w:ind w:left="0" w:leftChars="0" w:firstLine="0" w:firstLineChars="0"/>
              <w:rPr>
                <w:rFonts w:hint="eastAsia" w:ascii="仿宋" w:hAnsi="仿宋" w:eastAsia="仿宋" w:cs="仿宋"/>
                <w:sz w:val="28"/>
                <w:szCs w:val="28"/>
              </w:rPr>
            </w:pPr>
          </w:p>
        </w:tc>
        <w:tc>
          <w:tcPr>
            <w:tcW w:w="709" w:type="dxa"/>
            <w:noWrap w:val="0"/>
            <w:vAlign w:val="top"/>
          </w:tcPr>
          <w:p w14:paraId="7D26E33B">
            <w:pPr>
              <w:spacing w:line="360" w:lineRule="auto"/>
              <w:rPr>
                <w:rFonts w:hint="eastAsia" w:ascii="仿宋" w:hAnsi="仿宋" w:eastAsia="仿宋" w:cs="仿宋"/>
                <w:sz w:val="28"/>
                <w:szCs w:val="28"/>
              </w:rPr>
            </w:pPr>
          </w:p>
        </w:tc>
      </w:tr>
      <w:tr w14:paraId="1BB95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75" w:type="dxa"/>
            <w:noWrap w:val="0"/>
            <w:tcMar>
              <w:top w:w="15" w:type="dxa"/>
              <w:left w:w="81" w:type="dxa"/>
              <w:bottom w:w="0" w:type="dxa"/>
              <w:right w:w="81" w:type="dxa"/>
            </w:tcMar>
            <w:vAlign w:val="center"/>
          </w:tcPr>
          <w:p w14:paraId="743B696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2112" w:type="dxa"/>
            <w:noWrap w:val="0"/>
            <w:tcMar>
              <w:top w:w="15" w:type="dxa"/>
              <w:left w:w="81" w:type="dxa"/>
              <w:bottom w:w="0" w:type="dxa"/>
              <w:right w:w="81" w:type="dxa"/>
            </w:tcMar>
            <w:vAlign w:val="center"/>
          </w:tcPr>
          <w:p w14:paraId="6B7FF957">
            <w:pPr>
              <w:spacing w:line="360" w:lineRule="auto"/>
              <w:rPr>
                <w:rFonts w:hint="eastAsia" w:ascii="仿宋" w:hAnsi="仿宋" w:eastAsia="仿宋" w:cs="仿宋"/>
                <w:sz w:val="28"/>
                <w:szCs w:val="28"/>
              </w:rPr>
            </w:pPr>
          </w:p>
        </w:tc>
        <w:tc>
          <w:tcPr>
            <w:tcW w:w="825" w:type="dxa"/>
            <w:noWrap w:val="0"/>
            <w:tcMar>
              <w:top w:w="15" w:type="dxa"/>
              <w:left w:w="81" w:type="dxa"/>
              <w:bottom w:w="0" w:type="dxa"/>
              <w:right w:w="81" w:type="dxa"/>
            </w:tcMar>
            <w:vAlign w:val="center"/>
          </w:tcPr>
          <w:p w14:paraId="308484ED">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套</w:t>
            </w:r>
          </w:p>
        </w:tc>
        <w:tc>
          <w:tcPr>
            <w:tcW w:w="905" w:type="dxa"/>
            <w:noWrap w:val="0"/>
            <w:tcMar>
              <w:top w:w="15" w:type="dxa"/>
              <w:left w:w="81" w:type="dxa"/>
              <w:bottom w:w="0" w:type="dxa"/>
              <w:right w:w="81" w:type="dxa"/>
            </w:tcMar>
            <w:vAlign w:val="center"/>
          </w:tcPr>
          <w:p w14:paraId="5B1CDEEE">
            <w:pPr>
              <w:spacing w:line="360" w:lineRule="auto"/>
              <w:rPr>
                <w:rFonts w:hint="eastAsia" w:ascii="仿宋" w:hAnsi="仿宋" w:eastAsia="仿宋" w:cs="仿宋"/>
                <w:sz w:val="28"/>
                <w:szCs w:val="28"/>
              </w:rPr>
            </w:pPr>
          </w:p>
        </w:tc>
        <w:tc>
          <w:tcPr>
            <w:tcW w:w="1282" w:type="dxa"/>
            <w:noWrap w:val="0"/>
            <w:vAlign w:val="top"/>
          </w:tcPr>
          <w:p w14:paraId="581D1757">
            <w:pPr>
              <w:spacing w:line="360" w:lineRule="auto"/>
              <w:rPr>
                <w:rFonts w:hint="eastAsia" w:ascii="仿宋" w:hAnsi="仿宋" w:eastAsia="仿宋" w:cs="仿宋"/>
                <w:sz w:val="28"/>
                <w:szCs w:val="28"/>
              </w:rPr>
            </w:pPr>
          </w:p>
        </w:tc>
        <w:tc>
          <w:tcPr>
            <w:tcW w:w="1436" w:type="dxa"/>
            <w:noWrap w:val="0"/>
            <w:vAlign w:val="top"/>
          </w:tcPr>
          <w:p w14:paraId="339306D8">
            <w:pPr>
              <w:spacing w:line="360" w:lineRule="auto"/>
              <w:ind w:left="0" w:leftChars="0" w:firstLine="0" w:firstLineChars="0"/>
              <w:rPr>
                <w:rFonts w:hint="eastAsia" w:ascii="仿宋" w:hAnsi="仿宋" w:eastAsia="仿宋" w:cs="仿宋"/>
                <w:sz w:val="28"/>
                <w:szCs w:val="28"/>
              </w:rPr>
            </w:pPr>
          </w:p>
        </w:tc>
        <w:tc>
          <w:tcPr>
            <w:tcW w:w="709" w:type="dxa"/>
            <w:noWrap w:val="0"/>
            <w:vAlign w:val="top"/>
          </w:tcPr>
          <w:p w14:paraId="21719784">
            <w:pPr>
              <w:spacing w:line="360" w:lineRule="auto"/>
              <w:rPr>
                <w:rFonts w:hint="eastAsia" w:ascii="仿宋" w:hAnsi="仿宋" w:eastAsia="仿宋" w:cs="仿宋"/>
                <w:sz w:val="28"/>
                <w:szCs w:val="28"/>
              </w:rPr>
            </w:pPr>
          </w:p>
        </w:tc>
      </w:tr>
      <w:tr w14:paraId="117E0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875" w:type="dxa"/>
            <w:noWrap w:val="0"/>
            <w:tcMar>
              <w:top w:w="15" w:type="dxa"/>
              <w:left w:w="81" w:type="dxa"/>
              <w:bottom w:w="0" w:type="dxa"/>
              <w:right w:w="81" w:type="dxa"/>
            </w:tcMar>
            <w:vAlign w:val="center"/>
          </w:tcPr>
          <w:p w14:paraId="571D02C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2112" w:type="dxa"/>
            <w:noWrap w:val="0"/>
            <w:tcMar>
              <w:top w:w="15" w:type="dxa"/>
              <w:left w:w="81" w:type="dxa"/>
              <w:bottom w:w="0" w:type="dxa"/>
              <w:right w:w="81" w:type="dxa"/>
            </w:tcMar>
            <w:vAlign w:val="center"/>
          </w:tcPr>
          <w:p w14:paraId="3764C498">
            <w:pPr>
              <w:spacing w:line="360" w:lineRule="auto"/>
              <w:rPr>
                <w:rFonts w:hint="eastAsia" w:ascii="仿宋" w:hAnsi="仿宋" w:eastAsia="仿宋" w:cs="仿宋"/>
                <w:sz w:val="28"/>
                <w:szCs w:val="28"/>
              </w:rPr>
            </w:pPr>
          </w:p>
        </w:tc>
        <w:tc>
          <w:tcPr>
            <w:tcW w:w="825" w:type="dxa"/>
            <w:noWrap w:val="0"/>
            <w:tcMar>
              <w:top w:w="15" w:type="dxa"/>
              <w:left w:w="81" w:type="dxa"/>
              <w:bottom w:w="0" w:type="dxa"/>
              <w:right w:w="81" w:type="dxa"/>
            </w:tcMar>
            <w:vAlign w:val="center"/>
          </w:tcPr>
          <w:p w14:paraId="250BB5E1">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套</w:t>
            </w:r>
          </w:p>
        </w:tc>
        <w:tc>
          <w:tcPr>
            <w:tcW w:w="905" w:type="dxa"/>
            <w:noWrap w:val="0"/>
            <w:tcMar>
              <w:top w:w="15" w:type="dxa"/>
              <w:left w:w="81" w:type="dxa"/>
              <w:bottom w:w="0" w:type="dxa"/>
              <w:right w:w="81" w:type="dxa"/>
            </w:tcMar>
            <w:vAlign w:val="center"/>
          </w:tcPr>
          <w:p w14:paraId="5524C3E1">
            <w:pPr>
              <w:spacing w:line="360" w:lineRule="auto"/>
              <w:rPr>
                <w:rFonts w:hint="eastAsia" w:ascii="仿宋" w:hAnsi="仿宋" w:eastAsia="仿宋" w:cs="仿宋"/>
                <w:sz w:val="28"/>
                <w:szCs w:val="28"/>
              </w:rPr>
            </w:pPr>
          </w:p>
        </w:tc>
        <w:tc>
          <w:tcPr>
            <w:tcW w:w="1282" w:type="dxa"/>
            <w:noWrap w:val="0"/>
            <w:vAlign w:val="top"/>
          </w:tcPr>
          <w:p w14:paraId="1E80E5A6">
            <w:pPr>
              <w:spacing w:line="360" w:lineRule="auto"/>
              <w:rPr>
                <w:rFonts w:hint="eastAsia" w:ascii="仿宋" w:hAnsi="仿宋" w:eastAsia="仿宋" w:cs="仿宋"/>
                <w:sz w:val="28"/>
                <w:szCs w:val="28"/>
              </w:rPr>
            </w:pPr>
          </w:p>
        </w:tc>
        <w:tc>
          <w:tcPr>
            <w:tcW w:w="1436" w:type="dxa"/>
            <w:noWrap w:val="0"/>
            <w:vAlign w:val="top"/>
          </w:tcPr>
          <w:p w14:paraId="1B857863">
            <w:pPr>
              <w:spacing w:line="360" w:lineRule="auto"/>
              <w:ind w:left="0" w:leftChars="0" w:firstLine="0" w:firstLineChars="0"/>
              <w:rPr>
                <w:rFonts w:hint="eastAsia" w:ascii="仿宋" w:hAnsi="仿宋" w:eastAsia="仿宋" w:cs="仿宋"/>
                <w:sz w:val="28"/>
                <w:szCs w:val="28"/>
              </w:rPr>
            </w:pPr>
          </w:p>
        </w:tc>
        <w:tc>
          <w:tcPr>
            <w:tcW w:w="709" w:type="dxa"/>
            <w:noWrap w:val="0"/>
            <w:vAlign w:val="top"/>
          </w:tcPr>
          <w:p w14:paraId="648BCED3">
            <w:pPr>
              <w:spacing w:line="360" w:lineRule="auto"/>
              <w:rPr>
                <w:rFonts w:hint="eastAsia" w:ascii="仿宋" w:hAnsi="仿宋" w:eastAsia="仿宋" w:cs="仿宋"/>
                <w:sz w:val="28"/>
                <w:szCs w:val="28"/>
              </w:rPr>
            </w:pPr>
          </w:p>
        </w:tc>
      </w:tr>
    </w:tbl>
    <w:p w14:paraId="56D40C78">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注：</w:t>
      </w:r>
      <w:r>
        <w:rPr>
          <w:rFonts w:hint="eastAsia" w:ascii="仿宋" w:hAnsi="仿宋" w:eastAsia="仿宋" w:cs="仿宋"/>
          <w:sz w:val="28"/>
          <w:szCs w:val="28"/>
          <w:lang w:val="en-US" w:eastAsia="zh-CN"/>
        </w:rPr>
        <w:t>1、</w:t>
      </w:r>
      <w:r>
        <w:rPr>
          <w:rFonts w:hint="eastAsia" w:ascii="仿宋" w:hAnsi="仿宋" w:eastAsia="仿宋" w:cs="仿宋"/>
          <w:sz w:val="28"/>
          <w:szCs w:val="28"/>
        </w:rPr>
        <w:t>上述表格中</w:t>
      </w:r>
      <w:r>
        <w:rPr>
          <w:rFonts w:hint="eastAsia" w:ascii="仿宋" w:hAnsi="仿宋" w:eastAsia="仿宋" w:cs="仿宋"/>
          <w:sz w:val="28"/>
          <w:szCs w:val="28"/>
          <w:lang w:val="en-US" w:eastAsia="zh-CN"/>
        </w:rPr>
        <w:t>交货时间为暂定，具体按招标方通知；</w:t>
      </w:r>
    </w:p>
    <w:p w14:paraId="3F7467A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上述表格中未提及而</w:t>
      </w:r>
      <w:r>
        <w:rPr>
          <w:rFonts w:hint="eastAsia" w:ascii="仿宋" w:hAnsi="仿宋" w:eastAsia="仿宋" w:cs="仿宋"/>
          <w:sz w:val="28"/>
          <w:szCs w:val="28"/>
          <w:lang w:val="en-US" w:eastAsia="zh-CN"/>
        </w:rPr>
        <w:t>项目</w:t>
      </w:r>
      <w:r>
        <w:rPr>
          <w:rFonts w:hint="eastAsia" w:ascii="仿宋" w:hAnsi="仿宋" w:eastAsia="仿宋" w:cs="仿宋"/>
          <w:sz w:val="28"/>
          <w:szCs w:val="28"/>
        </w:rPr>
        <w:t>所必需的设备及材料由</w:t>
      </w:r>
      <w:r>
        <w:rPr>
          <w:rFonts w:hint="eastAsia" w:ascii="仿宋" w:hAnsi="仿宋" w:eastAsia="仿宋" w:cs="仿宋"/>
          <w:sz w:val="28"/>
          <w:szCs w:val="28"/>
          <w:lang w:val="en-US" w:eastAsia="zh-CN"/>
        </w:rPr>
        <w:t>投标</w:t>
      </w:r>
      <w:r>
        <w:rPr>
          <w:rFonts w:hint="eastAsia" w:ascii="仿宋" w:hAnsi="仿宋" w:eastAsia="仿宋" w:cs="仿宋"/>
          <w:sz w:val="28"/>
          <w:szCs w:val="28"/>
        </w:rPr>
        <w:t>方补充，由于</w:t>
      </w:r>
      <w:r>
        <w:rPr>
          <w:rFonts w:hint="eastAsia" w:ascii="仿宋" w:hAnsi="仿宋" w:eastAsia="仿宋" w:cs="仿宋"/>
          <w:sz w:val="28"/>
          <w:szCs w:val="28"/>
          <w:lang w:val="en-US" w:eastAsia="zh-CN"/>
        </w:rPr>
        <w:t>投标</w:t>
      </w:r>
      <w:r>
        <w:rPr>
          <w:rFonts w:hint="eastAsia" w:ascii="仿宋" w:hAnsi="仿宋" w:eastAsia="仿宋" w:cs="仿宋"/>
          <w:sz w:val="28"/>
          <w:szCs w:val="28"/>
        </w:rPr>
        <w:t>方未提出而导致设备无法正常使用的由</w:t>
      </w:r>
      <w:r>
        <w:rPr>
          <w:rFonts w:hint="eastAsia" w:ascii="仿宋" w:hAnsi="仿宋" w:eastAsia="仿宋" w:cs="仿宋"/>
          <w:sz w:val="28"/>
          <w:szCs w:val="28"/>
          <w:lang w:val="en-US" w:eastAsia="zh-CN"/>
        </w:rPr>
        <w:t>投标</w:t>
      </w:r>
      <w:r>
        <w:rPr>
          <w:rFonts w:hint="eastAsia" w:ascii="仿宋" w:hAnsi="仿宋" w:eastAsia="仿宋" w:cs="仿宋"/>
          <w:sz w:val="28"/>
          <w:szCs w:val="28"/>
        </w:rPr>
        <w:t>方承担责任并供货。</w:t>
      </w:r>
    </w:p>
    <w:tbl>
      <w:tblPr>
        <w:tblStyle w:val="60"/>
        <w:tblW w:w="8310" w:type="dxa"/>
        <w:jc w:val="center"/>
        <w:tblLayout w:type="fixed"/>
        <w:tblCellMar>
          <w:top w:w="0" w:type="dxa"/>
          <w:left w:w="30" w:type="dxa"/>
          <w:bottom w:w="0" w:type="dxa"/>
          <w:right w:w="30" w:type="dxa"/>
        </w:tblCellMar>
      </w:tblPr>
      <w:tblGrid>
        <w:gridCol w:w="1080"/>
        <w:gridCol w:w="2550"/>
        <w:gridCol w:w="1080"/>
        <w:gridCol w:w="1080"/>
        <w:gridCol w:w="2520"/>
      </w:tblGrid>
      <w:tr w14:paraId="4576C827">
        <w:tblPrEx>
          <w:tblCellMar>
            <w:top w:w="0" w:type="dxa"/>
            <w:left w:w="30" w:type="dxa"/>
            <w:bottom w:w="0" w:type="dxa"/>
            <w:right w:w="30" w:type="dxa"/>
          </w:tblCellMar>
        </w:tblPrEx>
        <w:trPr>
          <w:trHeight w:val="293" w:hRule="atLeast"/>
          <w:jc w:val="center"/>
        </w:trPr>
        <w:tc>
          <w:tcPr>
            <w:tcW w:w="8310" w:type="dxa"/>
            <w:gridSpan w:val="5"/>
            <w:tcBorders>
              <w:top w:val="single" w:color="auto" w:sz="6" w:space="0"/>
              <w:left w:val="single" w:color="auto" w:sz="6" w:space="0"/>
              <w:bottom w:val="single" w:color="auto" w:sz="6" w:space="0"/>
              <w:right w:val="single" w:color="auto" w:sz="6" w:space="0"/>
            </w:tcBorders>
            <w:noWrap w:val="0"/>
            <w:vAlign w:val="top"/>
          </w:tcPr>
          <w:p w14:paraId="2DA8DD3A">
            <w:pPr>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随机备品备件清单</w:t>
            </w:r>
          </w:p>
        </w:tc>
      </w:tr>
      <w:tr w14:paraId="444C8D0A">
        <w:tblPrEx>
          <w:tblCellMar>
            <w:top w:w="0" w:type="dxa"/>
            <w:left w:w="30" w:type="dxa"/>
            <w:bottom w:w="0" w:type="dxa"/>
            <w:right w:w="30" w:type="dxa"/>
          </w:tblCellMar>
        </w:tblPrEx>
        <w:trPr>
          <w:trHeight w:val="293"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20978D4B">
            <w:pPr>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序号</w:t>
            </w:r>
          </w:p>
        </w:tc>
        <w:tc>
          <w:tcPr>
            <w:tcW w:w="2550" w:type="dxa"/>
            <w:tcBorders>
              <w:top w:val="single" w:color="auto" w:sz="6" w:space="0"/>
              <w:left w:val="single" w:color="auto" w:sz="6" w:space="0"/>
              <w:bottom w:val="single" w:color="auto" w:sz="6" w:space="0"/>
              <w:right w:val="single" w:color="auto" w:sz="6" w:space="0"/>
            </w:tcBorders>
            <w:noWrap w:val="0"/>
            <w:vAlign w:val="top"/>
          </w:tcPr>
          <w:p w14:paraId="1049E2F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名称</w:t>
            </w:r>
          </w:p>
        </w:tc>
        <w:tc>
          <w:tcPr>
            <w:tcW w:w="1080" w:type="dxa"/>
            <w:tcBorders>
              <w:top w:val="single" w:color="auto" w:sz="6" w:space="0"/>
              <w:left w:val="single" w:color="auto" w:sz="6" w:space="0"/>
              <w:bottom w:val="single" w:color="auto" w:sz="6" w:space="0"/>
              <w:right w:val="single" w:color="auto" w:sz="6" w:space="0"/>
            </w:tcBorders>
            <w:noWrap w:val="0"/>
            <w:vAlign w:val="top"/>
          </w:tcPr>
          <w:p w14:paraId="18C11FEF">
            <w:pPr>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单位</w:t>
            </w:r>
          </w:p>
        </w:tc>
        <w:tc>
          <w:tcPr>
            <w:tcW w:w="1080" w:type="dxa"/>
            <w:tcBorders>
              <w:top w:val="single" w:color="auto" w:sz="6" w:space="0"/>
              <w:left w:val="single" w:color="auto" w:sz="6" w:space="0"/>
              <w:bottom w:val="single" w:color="auto" w:sz="6" w:space="0"/>
              <w:right w:val="single" w:color="auto" w:sz="6" w:space="0"/>
            </w:tcBorders>
            <w:noWrap w:val="0"/>
            <w:vAlign w:val="top"/>
          </w:tcPr>
          <w:p w14:paraId="40691E3F">
            <w:pPr>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数量</w:t>
            </w:r>
          </w:p>
        </w:tc>
        <w:tc>
          <w:tcPr>
            <w:tcW w:w="2520" w:type="dxa"/>
            <w:tcBorders>
              <w:top w:val="single" w:color="auto" w:sz="6" w:space="0"/>
              <w:left w:val="single" w:color="auto" w:sz="6" w:space="0"/>
              <w:bottom w:val="single" w:color="auto" w:sz="6" w:space="0"/>
              <w:right w:val="single" w:color="auto" w:sz="6" w:space="0"/>
            </w:tcBorders>
            <w:noWrap w:val="0"/>
            <w:vAlign w:val="top"/>
          </w:tcPr>
          <w:p w14:paraId="4171D11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w:t>
            </w:r>
          </w:p>
        </w:tc>
      </w:tr>
      <w:tr w14:paraId="48F61BD0">
        <w:trPr>
          <w:trHeight w:val="401"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center"/>
          </w:tcPr>
          <w:p w14:paraId="7021EBAC">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55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5878CAD">
            <w:pPr>
              <w:spacing w:line="360" w:lineRule="auto"/>
              <w:ind w:firstLine="420" w:firstLineChars="200"/>
              <w:jc w:val="center"/>
              <w:rPr>
                <w:rFonts w:hint="eastAsia" w:ascii="Times New Roman" w:hAnsi="Times New Roman" w:eastAsia="仿宋_GB2312" w:cs="Yu Gothic UI"/>
                <w:color w:val="000000" w:themeColor="text1"/>
                <w:kern w:val="2"/>
                <w:sz w:val="28"/>
                <w:lang w:val="zh-CN" w:eastAsia="zh-CN" w:bidi="zh-CN"/>
                <w14:textFill>
                  <w14:solidFill>
                    <w14:schemeClr w14:val="tx1"/>
                  </w14:solidFill>
                </w14:textFill>
              </w:rPr>
            </w:pPr>
            <w:r>
              <w:rPr>
                <w:rFonts w:hint="eastAsia" w:cs="Yu Gothic UI"/>
                <w:color w:val="000000" w:themeColor="text1"/>
                <w:lang w:val="zh-CN" w:eastAsia="zh-CN" w:bidi="zh-CN"/>
                <w14:textFill>
                  <w14:solidFill>
                    <w14:schemeClr w14:val="tx1"/>
                  </w14:solidFill>
                </w14:textFill>
              </w:rPr>
              <w:t>液压双向插板门</w:t>
            </w:r>
            <w:r>
              <w:rPr>
                <w:rFonts w:hint="eastAsia" w:cs="Yu Gothic UI"/>
                <w:color w:val="000000" w:themeColor="text1"/>
                <w:lang w:eastAsia="zh-CN" w:bidi="zh-CN"/>
                <w14:textFill>
                  <w14:solidFill>
                    <w14:schemeClr w14:val="tx1"/>
                  </w14:solidFill>
                </w14:textFill>
              </w:rPr>
              <w:t>密封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5A84F0D">
            <w:pPr>
              <w:spacing w:line="360" w:lineRule="auto"/>
              <w:ind w:firstLine="560" w:firstLineChars="200"/>
              <w:jc w:val="left"/>
              <w:rPr>
                <w:rFonts w:hint="eastAsia" w:ascii="仿宋" w:hAnsi="仿宋" w:eastAsia="仿宋" w:cs="仿宋"/>
                <w:sz w:val="28"/>
                <w:szCs w:val="28"/>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91D1BEA">
            <w:pPr>
              <w:spacing w:line="360" w:lineRule="auto"/>
              <w:ind w:firstLine="560" w:firstLineChars="200"/>
              <w:jc w:val="left"/>
              <w:rPr>
                <w:rFonts w:hint="eastAsia" w:ascii="仿宋" w:hAnsi="仿宋" w:eastAsia="仿宋" w:cs="仿宋"/>
                <w:sz w:val="28"/>
                <w:szCs w:val="28"/>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14:paraId="75384E0C">
            <w:pPr>
              <w:spacing w:line="360" w:lineRule="auto"/>
              <w:ind w:firstLine="560" w:firstLineChars="200"/>
              <w:jc w:val="left"/>
              <w:rPr>
                <w:rFonts w:hint="eastAsia" w:ascii="仿宋" w:hAnsi="仿宋" w:eastAsia="仿宋" w:cs="仿宋"/>
                <w:sz w:val="28"/>
                <w:szCs w:val="28"/>
              </w:rPr>
            </w:pPr>
          </w:p>
        </w:tc>
      </w:tr>
      <w:tr w14:paraId="72BDAB42">
        <w:tblPrEx>
          <w:tblCellMar>
            <w:top w:w="0" w:type="dxa"/>
            <w:left w:w="30" w:type="dxa"/>
            <w:bottom w:w="0" w:type="dxa"/>
            <w:right w:w="30" w:type="dxa"/>
          </w:tblCellMar>
        </w:tblPrEx>
        <w:trPr>
          <w:trHeight w:val="401"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center"/>
          </w:tcPr>
          <w:p w14:paraId="24E69B95">
            <w:pPr>
              <w:spacing w:line="360" w:lineRule="auto"/>
              <w:ind w:firstLine="560" w:firstLineChars="200"/>
              <w:jc w:val="left"/>
              <w:rPr>
                <w:rFonts w:hint="eastAsia" w:ascii="仿宋" w:hAnsi="仿宋" w:eastAsia="仿宋" w:cs="仿宋"/>
                <w:sz w:val="28"/>
                <w:szCs w:val="28"/>
                <w:lang w:val="en-US" w:eastAsia="zh-CN"/>
              </w:rPr>
            </w:pPr>
            <w:bookmarkStart w:id="132" w:name="_Toc2397"/>
            <w:bookmarkStart w:id="133" w:name="_Toc31261"/>
            <w:bookmarkStart w:id="134" w:name="_Toc28284"/>
            <w:bookmarkStart w:id="135" w:name="_Toc30322"/>
            <w:bookmarkStart w:id="136" w:name="_Toc19664"/>
            <w:bookmarkStart w:id="137" w:name="_Toc7555"/>
            <w:bookmarkStart w:id="138" w:name="_Toc14446"/>
            <w:bookmarkStart w:id="139" w:name="_Toc26178"/>
            <w:bookmarkStart w:id="140" w:name="_Toc29953"/>
            <w:bookmarkStart w:id="141" w:name="_Toc21130"/>
            <w:bookmarkStart w:id="142" w:name="_Toc22480"/>
            <w:bookmarkStart w:id="143" w:name="_Toc21839"/>
            <w:bookmarkStart w:id="144" w:name="_Toc15607"/>
            <w:bookmarkStart w:id="145" w:name="_Toc13952"/>
            <w:bookmarkStart w:id="146" w:name="_Toc2420"/>
            <w:bookmarkStart w:id="147" w:name="_Toc12682"/>
            <w:r>
              <w:rPr>
                <w:rFonts w:hint="eastAsia" w:ascii="仿宋" w:hAnsi="仿宋" w:eastAsia="仿宋" w:cs="仿宋"/>
                <w:sz w:val="28"/>
                <w:szCs w:val="28"/>
                <w:lang w:val="en-US" w:eastAsia="zh-CN"/>
              </w:rPr>
              <w:t>2</w:t>
            </w:r>
          </w:p>
        </w:tc>
        <w:tc>
          <w:tcPr>
            <w:tcW w:w="255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8523405">
            <w:pPr>
              <w:spacing w:line="360" w:lineRule="auto"/>
              <w:ind w:firstLine="420" w:firstLineChars="200"/>
              <w:jc w:val="center"/>
              <w:rPr>
                <w:rFonts w:hint="eastAsia" w:ascii="Times New Roman" w:hAnsi="Times New Roman" w:eastAsia="仿宋_GB2312" w:cs="Yu Gothic UI"/>
                <w:color w:val="000000" w:themeColor="text1"/>
                <w:kern w:val="2"/>
                <w:sz w:val="28"/>
                <w:lang w:val="zh-CN" w:eastAsia="zh-CN" w:bidi="zh-CN"/>
                <w14:textFill>
                  <w14:solidFill>
                    <w14:schemeClr w14:val="tx1"/>
                  </w14:solidFill>
                </w14:textFill>
              </w:rPr>
            </w:pPr>
            <w:r>
              <w:rPr>
                <w:rFonts w:hint="eastAsia" w:cs="Yu Gothic UI"/>
                <w:color w:val="000000" w:themeColor="text1"/>
                <w:lang w:val="zh-CN" w:eastAsia="zh-CN" w:bidi="zh-CN"/>
                <w14:textFill>
                  <w14:solidFill>
                    <w14:schemeClr w14:val="tx1"/>
                  </w14:solidFill>
                </w14:textFill>
              </w:rPr>
              <w:t>液压闸板阀油站</w:t>
            </w:r>
            <w:r>
              <w:rPr>
                <w:rFonts w:hint="eastAsia" w:cs="Yu Gothic UI"/>
                <w:color w:val="000000" w:themeColor="text1"/>
                <w:lang w:eastAsia="zh-CN" w:bidi="zh-CN"/>
                <w14:textFill>
                  <w14:solidFill>
                    <w14:schemeClr w14:val="tx1"/>
                  </w14:solidFill>
                </w14:textFill>
              </w:rPr>
              <w:t>备用阀</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4E7DB75">
            <w:pPr>
              <w:spacing w:line="360" w:lineRule="auto"/>
              <w:ind w:firstLine="560" w:firstLineChars="200"/>
              <w:jc w:val="left"/>
              <w:rPr>
                <w:rFonts w:hint="eastAsia" w:ascii="仿宋" w:hAnsi="仿宋" w:eastAsia="仿宋" w:cs="仿宋"/>
                <w:sz w:val="28"/>
                <w:szCs w:val="28"/>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A9E0CD6">
            <w:pPr>
              <w:spacing w:line="360" w:lineRule="auto"/>
              <w:ind w:firstLine="560" w:firstLineChars="200"/>
              <w:jc w:val="left"/>
              <w:rPr>
                <w:rFonts w:hint="eastAsia" w:ascii="仿宋" w:hAnsi="仿宋" w:eastAsia="仿宋" w:cs="仿宋"/>
                <w:sz w:val="28"/>
                <w:szCs w:val="28"/>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14:paraId="788BFD1F">
            <w:pPr>
              <w:spacing w:line="360" w:lineRule="auto"/>
              <w:ind w:firstLine="560" w:firstLineChars="200"/>
              <w:jc w:val="left"/>
              <w:rPr>
                <w:rFonts w:hint="eastAsia" w:ascii="仿宋" w:hAnsi="仿宋" w:eastAsia="仿宋" w:cs="仿宋"/>
                <w:sz w:val="28"/>
                <w:szCs w:val="28"/>
              </w:rPr>
            </w:pPr>
          </w:p>
        </w:tc>
      </w:tr>
      <w:tr w14:paraId="1F986E92">
        <w:tblPrEx>
          <w:tblCellMar>
            <w:top w:w="0" w:type="dxa"/>
            <w:left w:w="30" w:type="dxa"/>
            <w:bottom w:w="0" w:type="dxa"/>
            <w:right w:w="30" w:type="dxa"/>
          </w:tblCellMar>
        </w:tblPrEx>
        <w:trPr>
          <w:trHeight w:val="401"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center"/>
          </w:tcPr>
          <w:p w14:paraId="40FBC722">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55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403A447">
            <w:pPr>
              <w:spacing w:line="360" w:lineRule="auto"/>
              <w:ind w:firstLine="420" w:firstLineChars="200"/>
              <w:jc w:val="center"/>
              <w:rPr>
                <w:rFonts w:hint="eastAsia" w:ascii="Times New Roman" w:hAnsi="Times New Roman" w:eastAsia="仿宋_GB2312" w:cs="Yu Gothic UI"/>
                <w:color w:val="000000" w:themeColor="text1"/>
                <w:kern w:val="2"/>
                <w:sz w:val="28"/>
                <w:lang w:val="zh-CN" w:eastAsia="zh-CN" w:bidi="zh-CN"/>
                <w14:textFill>
                  <w14:solidFill>
                    <w14:schemeClr w14:val="tx1"/>
                  </w14:solidFill>
                </w14:textFill>
              </w:rPr>
            </w:pPr>
            <w:r>
              <w:rPr>
                <w:rFonts w:hint="eastAsia" w:cs="Yu Gothic UI"/>
                <w:color w:val="auto"/>
                <w:lang w:val="en-US" w:eastAsia="zh-CN" w:bidi="zh-CN"/>
              </w:rPr>
              <w:t>雷达</w:t>
            </w:r>
            <w:r>
              <w:rPr>
                <w:rFonts w:hint="eastAsia" w:cs="Yu Gothic UI"/>
                <w:color w:val="000000" w:themeColor="text1"/>
                <w:lang w:val="zh-CN" w:eastAsia="zh-CN" w:bidi="zh-CN"/>
                <w14:textFill>
                  <w14:solidFill>
                    <w14:schemeClr w14:val="tx1"/>
                  </w14:solidFill>
                </w14:textFill>
              </w:rPr>
              <w:t>料位计</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C5C65D6">
            <w:pPr>
              <w:spacing w:line="360" w:lineRule="auto"/>
              <w:ind w:firstLine="560" w:firstLineChars="200"/>
              <w:jc w:val="left"/>
              <w:rPr>
                <w:rFonts w:hint="eastAsia" w:ascii="仿宋" w:hAnsi="仿宋" w:eastAsia="仿宋" w:cs="仿宋"/>
                <w:sz w:val="28"/>
                <w:szCs w:val="28"/>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A1A8341">
            <w:pPr>
              <w:spacing w:line="360" w:lineRule="auto"/>
              <w:ind w:firstLine="560" w:firstLineChars="200"/>
              <w:jc w:val="left"/>
              <w:rPr>
                <w:rFonts w:hint="eastAsia" w:ascii="仿宋" w:hAnsi="仿宋" w:eastAsia="仿宋" w:cs="仿宋"/>
                <w:sz w:val="28"/>
                <w:szCs w:val="28"/>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14:paraId="215C9F4C">
            <w:pPr>
              <w:spacing w:line="360" w:lineRule="auto"/>
              <w:ind w:firstLine="560" w:firstLineChars="200"/>
              <w:jc w:val="left"/>
              <w:rPr>
                <w:rFonts w:hint="eastAsia" w:ascii="仿宋" w:hAnsi="仿宋" w:eastAsia="仿宋" w:cs="仿宋"/>
                <w:sz w:val="28"/>
                <w:szCs w:val="28"/>
              </w:rPr>
            </w:pPr>
          </w:p>
        </w:tc>
      </w:tr>
      <w:tr w14:paraId="64C982AD">
        <w:tblPrEx>
          <w:tblCellMar>
            <w:top w:w="0" w:type="dxa"/>
            <w:left w:w="30" w:type="dxa"/>
            <w:bottom w:w="0" w:type="dxa"/>
            <w:right w:w="30" w:type="dxa"/>
          </w:tblCellMar>
        </w:tblPrEx>
        <w:trPr>
          <w:trHeight w:val="401"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center"/>
          </w:tcPr>
          <w:p w14:paraId="5AD5EBFD">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55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26B27FE">
            <w:pPr>
              <w:spacing w:line="360" w:lineRule="auto"/>
              <w:ind w:firstLine="420" w:firstLineChars="200"/>
              <w:jc w:val="center"/>
              <w:rPr>
                <w:rFonts w:hint="eastAsia" w:ascii="Times New Roman" w:hAnsi="Times New Roman" w:eastAsia="仿宋_GB2312" w:cs="Yu Gothic UI"/>
                <w:color w:val="000000" w:themeColor="text1"/>
                <w:kern w:val="2"/>
                <w:sz w:val="28"/>
                <w:lang w:val="zh-CN" w:eastAsia="zh-CN" w:bidi="zh-CN"/>
                <w14:textFill>
                  <w14:solidFill>
                    <w14:schemeClr w14:val="tx1"/>
                  </w14:solidFill>
                </w14:textFill>
              </w:rPr>
            </w:pPr>
            <w:r>
              <w:rPr>
                <w:rFonts w:hint="eastAsia" w:cs="Yu Gothic UI"/>
                <w:color w:val="000000" w:themeColor="text1"/>
                <w:lang w:val="zh-CN" w:eastAsia="zh-CN" w:bidi="zh-CN"/>
                <w14:textFill>
                  <w14:solidFill>
                    <w14:schemeClr w14:val="tx1"/>
                  </w14:solidFill>
                </w14:textFill>
              </w:rPr>
              <w:t>空气</w:t>
            </w:r>
            <w:r>
              <w:rPr>
                <w:rFonts w:hint="eastAsia" w:cs="Yu Gothic UI"/>
                <w:color w:val="000000" w:themeColor="text1"/>
                <w:lang w:eastAsia="zh-CN" w:bidi="zh-CN"/>
                <w14:textFill>
                  <w14:solidFill>
                    <w14:schemeClr w14:val="tx1"/>
                  </w14:solidFill>
                </w14:textFill>
              </w:rPr>
              <w:t>炮</w:t>
            </w:r>
            <w:r>
              <w:rPr>
                <w:rFonts w:hint="eastAsia" w:cs="Yu Gothic UI"/>
                <w:color w:val="000000" w:themeColor="text1"/>
                <w:lang w:val="en-US" w:eastAsia="zh-CN" w:bidi="zh-CN"/>
                <w14:textFill>
                  <w14:solidFill>
                    <w14:schemeClr w14:val="tx1"/>
                  </w14:solidFill>
                </w14:textFill>
              </w:rPr>
              <w:t>及空气锤</w:t>
            </w:r>
            <w:r>
              <w:rPr>
                <w:rFonts w:hint="eastAsia" w:cs="Yu Gothic UI"/>
                <w:color w:val="000000" w:themeColor="text1"/>
                <w:lang w:eastAsia="zh-CN" w:bidi="zh-CN"/>
                <w14:textFill>
                  <w14:solidFill>
                    <w14:schemeClr w14:val="tx1"/>
                  </w14:solidFill>
                </w14:textFill>
              </w:rPr>
              <w:t>电磁阀及密封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5CDCCD3">
            <w:pPr>
              <w:spacing w:line="360" w:lineRule="auto"/>
              <w:ind w:firstLine="560" w:firstLineChars="200"/>
              <w:jc w:val="left"/>
              <w:rPr>
                <w:rFonts w:hint="eastAsia" w:ascii="仿宋" w:hAnsi="仿宋" w:eastAsia="仿宋" w:cs="仿宋"/>
                <w:sz w:val="28"/>
                <w:szCs w:val="28"/>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F6317F4">
            <w:pPr>
              <w:spacing w:line="360" w:lineRule="auto"/>
              <w:ind w:firstLine="560" w:firstLineChars="200"/>
              <w:jc w:val="left"/>
              <w:rPr>
                <w:rFonts w:hint="eastAsia" w:ascii="仿宋" w:hAnsi="仿宋" w:eastAsia="仿宋" w:cs="仿宋"/>
                <w:sz w:val="28"/>
                <w:szCs w:val="28"/>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14:paraId="0673FB88">
            <w:pPr>
              <w:spacing w:line="360" w:lineRule="auto"/>
              <w:ind w:firstLine="560" w:firstLineChars="200"/>
              <w:jc w:val="left"/>
              <w:rPr>
                <w:rFonts w:hint="eastAsia" w:ascii="仿宋" w:hAnsi="仿宋" w:eastAsia="仿宋" w:cs="仿宋"/>
                <w:sz w:val="28"/>
                <w:szCs w:val="28"/>
              </w:rPr>
            </w:pPr>
          </w:p>
        </w:tc>
      </w:tr>
    </w:tbl>
    <w:p w14:paraId="792A4DA7">
      <w:pPr>
        <w:pStyle w:val="22"/>
        <w:numPr>
          <w:ilvl w:val="0"/>
          <w:numId w:val="0"/>
        </w:numPr>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十一、包装、标志、运输及保管</w:t>
      </w:r>
    </w:p>
    <w:p w14:paraId="073C50F4">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11.1包装</w:t>
      </w:r>
    </w:p>
    <w:p w14:paraId="3DBDDAC0">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所供设备部件，除特殊部件外，均应遵照国家标准或按最好的商业惯例包装进行，使用坚固的箱子包装。并应根据不同货物的特性和要求，采取措施，如对设备进行妥善的油漆或其他有效的防腐处理，以适应远途海上、陆上运输条件和大量的吊装、卸货以及长期露天堆放的需要，防止雨雪、受潮、生锈、腐蚀、受震以及机械和化学引起的损坏。</w:t>
      </w:r>
    </w:p>
    <w:p w14:paraId="25C80948">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投标方所供技术文件应妥善地包装，能承受运输和多次搬运，并应防止潮气和雨水的侵蚀。每个技术文件邮包应装有详细目录清单。所有备品备件必须单独装箱，且注明备品备件字样，否则视未提供备件处理。</w:t>
      </w:r>
    </w:p>
    <w:p w14:paraId="7B337B69">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设备包装前应清除设备内的水份、污垢和杂物，设计应采用非金属包装物，同时应做好管子和管口密封。</w:t>
      </w:r>
    </w:p>
    <w:p w14:paraId="386B0B2E">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设备包装应考虑做好防雨、防潮等保护措施；散管、小件设备应捆扎牢固，以防运输期间挤压、碰撞、擦划、变形等损伤。</w:t>
      </w:r>
    </w:p>
    <w:p w14:paraId="6317C70C">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设备出厂前使用方监造人员应对包装质量检查，检查合格后方可发货。</w:t>
      </w:r>
    </w:p>
    <w:p w14:paraId="4A03EF6A">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对于需要回收的包装材料，一般方必须事先声明(在发货清单、包装清单、包装标示或卖方认为比较合适的文件中)，招标方不负责包装材料的工地现场的保管及搬运责任。</w:t>
      </w:r>
    </w:p>
    <w:p w14:paraId="1D5580C8">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11.2标志</w:t>
      </w:r>
    </w:p>
    <w:p w14:paraId="336A1DE8">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重要部件应根据图纸规定，在一定位置上标有装配编号，使用材料和检验合格的标志。</w:t>
      </w:r>
    </w:p>
    <w:p w14:paraId="04DEF5A2">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设备/备品配件等包装的重心位置应有明确的标志，起吊位置、存放方向及防雨、防腐、防潮等要有明确标志。</w:t>
      </w:r>
    </w:p>
    <w:p w14:paraId="766AFE90">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投标方供给的设备（无论装在箱内或成捆的散件）的包装，都应贴有标明合同号，主要设备名称，部件名称和组装图上的部件位置号的标签，备品备件和专用工具还应标明“备品备件”和“工具”的字样。</w:t>
      </w:r>
    </w:p>
    <w:p w14:paraId="59E0F308">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包装箱编号应卖方统一给定的编号方式下进行编号。包装箱应连续编号，而且在全部装运的过程中，装箱编号的顺序始终是连贯的。</w:t>
      </w:r>
    </w:p>
    <w:p w14:paraId="5F6932DA">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11.3运输</w:t>
      </w:r>
    </w:p>
    <w:p w14:paraId="3D2E77F3">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由铁路运输的部件，其尺寸不应超过国家对非标准外形体的规定、当部件经由除铁路外的其它方式运输时，其重量和体积的限值，应遵守有关运输单位的规定。每批货物备妥及装运车辆发出24小时内，投标方应用传真等形式通知招标方。通知中应指明设备名称、件数、件号、重量、合同号、货运单号、设备发出日期。技术文件中应说明大件运输方案。超重件，投标方在发货前不迟于7天将发货大概日期以传真通知招标方。</w:t>
      </w:r>
    </w:p>
    <w:p w14:paraId="17EB073E">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11.4保管</w:t>
      </w:r>
    </w:p>
    <w:p w14:paraId="340B7427">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应提供所有设备、部件、材料等的保管方法的说明。投标方所用的每种防腐剂的质量、预期寿命和型号应该一致，投标方应向招标方提交各种防腐剂清除步骤的完整资料。最大限度地在制造厂组装成完整部件，并做好校正和试验。大件的运输尺寸及重量由投标方提供。</w:t>
      </w:r>
    </w:p>
    <w:p w14:paraId="6FD50E35">
      <w:pPr>
        <w:pStyle w:val="22"/>
        <w:numPr>
          <w:ilvl w:val="0"/>
          <w:numId w:val="0"/>
        </w:numPr>
        <w:tabs>
          <w:tab w:val="left" w:pos="5226"/>
        </w:tabs>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十二、技术服务</w:t>
      </w:r>
      <w:r>
        <w:rPr>
          <w:rFonts w:hint="eastAsia" w:ascii="仿宋" w:hAnsi="仿宋" w:eastAsia="仿宋" w:cs="仿宋"/>
          <w:b/>
          <w:bCs/>
          <w:sz w:val="28"/>
          <w:szCs w:val="28"/>
          <w:lang w:val="en-US" w:eastAsia="zh-CN"/>
        </w:rPr>
        <w:tab/>
      </w:r>
    </w:p>
    <w:p w14:paraId="4354E821">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12.1设备安装调试期间，投标方必须派员到现场进行技术服务解决安装调试中的问题；现场服务人员应服从试运指挥部的统一调度。</w:t>
      </w:r>
    </w:p>
    <w:p w14:paraId="21AA0C65">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12.2设备安装调试过程中，由于制造质量或安装造成的不符合规定的偏差，必须有文字记录，由投标方处理，费用也由投标方自负。</w:t>
      </w:r>
    </w:p>
    <w:p w14:paraId="23B5D71E">
      <w:pPr>
        <w:numPr>
          <w:ilvl w:val="0"/>
          <w:numId w:val="0"/>
        </w:numPr>
        <w:spacing w:line="360" w:lineRule="auto"/>
        <w:rPr>
          <w:rFonts w:hint="eastAsia"/>
          <w:lang w:val="en-US" w:eastAsia="zh-CN"/>
        </w:rPr>
      </w:pPr>
      <w:r>
        <w:rPr>
          <w:rFonts w:hint="eastAsia" w:ascii="仿宋" w:hAnsi="仿宋" w:eastAsia="仿宋" w:cs="仿宋"/>
          <w:sz w:val="28"/>
          <w:szCs w:val="28"/>
          <w:lang w:val="en-US" w:eastAsia="zh-CN"/>
        </w:rPr>
        <w:t>12.3设备安装后，投标方应派人参加现场进行的分部试运及间隙调整试验、验收，并帮助解决试验中暴露的问题。</w:t>
      </w:r>
    </w:p>
    <w:p w14:paraId="166421B6">
      <w:pPr>
        <w:pStyle w:val="22"/>
        <w:numPr>
          <w:ilvl w:val="0"/>
          <w:numId w:val="0"/>
        </w:numPr>
        <w:ind w:leftChars="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十三、投标资质及业绩要求</w:t>
      </w:r>
    </w:p>
    <w:p w14:paraId="66261509">
      <w:pPr>
        <w:rPr>
          <w:rFonts w:hint="eastAsia" w:ascii="仿宋" w:hAnsi="仿宋" w:eastAsia="仿宋" w:cs="仿宋"/>
          <w:b/>
          <w:bCs/>
          <w:sz w:val="28"/>
          <w:szCs w:val="28"/>
          <w:lang w:val="en-US" w:eastAsia="zh-CN"/>
        </w:rPr>
      </w:pPr>
    </w:p>
    <w:p w14:paraId="09846EB9">
      <w:pPr>
        <w:pStyle w:val="32"/>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1.投标单位为中华人民共和国境内合法注册的独立法人或其他组织，具有独立承担民事责任能力，具有独立订立合同的权利，</w:t>
      </w:r>
      <w:r>
        <w:rPr>
          <w:rFonts w:hint="eastAsia" w:ascii="宋体" w:hAnsi="宋体"/>
          <w:sz w:val="24"/>
        </w:rPr>
        <w:t>应</w:t>
      </w:r>
      <w:r>
        <w:rPr>
          <w:rFonts w:hint="eastAsia" w:ascii="仿宋" w:hAnsi="仿宋" w:eastAsia="仿宋" w:cs="仿宋"/>
          <w:kern w:val="2"/>
          <w:sz w:val="28"/>
          <w:szCs w:val="28"/>
          <w:lang w:val="en-US" w:eastAsia="zh-CN" w:bidi="ar-SA"/>
        </w:rPr>
        <w:t>具有设计和生产制造及调试能力，须提供有效的证明文件。</w:t>
      </w:r>
    </w:p>
    <w:p w14:paraId="1F88F5A2">
      <w:pPr>
        <w:pStyle w:val="32"/>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2.没有处于被责令停产、停业或进入破产程序，生产经营不正常或不具备合同履约能力。</w:t>
      </w:r>
    </w:p>
    <w:p w14:paraId="106E78F6">
      <w:pPr>
        <w:pStyle w:val="32"/>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3.没有处于行政主管部门或行业系统内单位相关文件确认的禁止投标的处罚期内。</w:t>
      </w:r>
    </w:p>
    <w:p w14:paraId="46293D23">
      <w:pPr>
        <w:pStyle w:val="32"/>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4.投标单位不得被工商行政管理机关在全国企业信用信息公示系统中列入严重违法失信企业名单(在评标期间尚未解除的)。不得在“信用中国”网站 被列入“失信被执行人名单”(在评标期间尚未解除的)。</w:t>
      </w:r>
    </w:p>
    <w:p w14:paraId="31A2037B">
      <w:pPr>
        <w:pStyle w:val="32"/>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5.建筑机电安装工程专业承包或电力工程总承包二级及以上资质。</w:t>
      </w:r>
    </w:p>
    <w:p w14:paraId="2BDD07CC">
      <w:pPr>
        <w:pStyle w:val="32"/>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6.具有有效的营业执照、安全生产许可证、质量管理体系认证、环境管理体系认证、职业健康安全管理体系认证。</w:t>
      </w:r>
    </w:p>
    <w:p w14:paraId="39BDA31C">
      <w:pPr>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7.投标单位自</w:t>
      </w:r>
      <w:r>
        <w:t>2021年至</w:t>
      </w:r>
      <w:r>
        <w:rPr>
          <w:rFonts w:hint="eastAsia"/>
          <w:lang w:val="en-US" w:eastAsia="zh-CN"/>
        </w:rPr>
        <w:t>今</w:t>
      </w:r>
      <w:r>
        <w:t>须至少具有</w:t>
      </w:r>
      <w:r>
        <w:rPr>
          <w:rFonts w:hint="eastAsia"/>
          <w:lang w:val="en-US" w:eastAsia="zh-CN"/>
        </w:rPr>
        <w:t>600MW</w:t>
      </w:r>
      <w:r>
        <w:t>燃煤机组原煤仓改造或研究应用合同业绩2份，且单份合同总金额不少于200万元。投标人须提供能证明本次招标业绩要求的合同扫描件，合同扫描件须至少包含：合同买卖双方盖章页、合同签订时间和业绩要求中的关键信息页</w:t>
      </w:r>
      <w:r>
        <w:rPr>
          <w:rFonts w:hint="eastAsia"/>
          <w:lang w:eastAsia="zh-CN"/>
        </w:rPr>
        <w:t>、</w:t>
      </w:r>
      <w:r>
        <w:rPr>
          <w:rFonts w:hint="eastAsia"/>
          <w:lang w:val="en-US" w:eastAsia="zh-CN"/>
        </w:rPr>
        <w:t>用户证明、税票等</w:t>
      </w:r>
      <w:r>
        <w:t>。</w:t>
      </w:r>
    </w:p>
    <w:p w14:paraId="2C559496">
      <w:pPr>
        <w:pStyle w:val="32"/>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8.本项目不接受联合投标。</w:t>
      </w:r>
    </w:p>
    <w:p w14:paraId="4EC3FE2C">
      <w:pPr>
        <w:pStyle w:val="22"/>
        <w:numPr>
          <w:ilvl w:val="0"/>
          <w:numId w:val="0"/>
        </w:numPr>
        <w:ind w:leftChars="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十四、投标方需要说明的其他事项</w:t>
      </w:r>
    </w:p>
    <w:p w14:paraId="2BF4B51A">
      <w:pPr>
        <w:ind w:left="0" w:leftChars="0" w:firstLine="0" w:firstLineChars="0"/>
        <w:rPr>
          <w:rFonts w:hint="default" w:ascii="仿宋" w:hAnsi="仿宋" w:eastAsia="仿宋" w:cs="仿宋"/>
          <w:b/>
          <w:bCs/>
          <w:sz w:val="28"/>
          <w:szCs w:val="28"/>
          <w:lang w:val="en-US" w:eastAsia="zh-CN"/>
        </w:rPr>
        <w:sectPr>
          <w:footerReference r:id="rId7" w:type="first"/>
          <w:footerReference r:id="rId5" w:type="default"/>
          <w:footerReference r:id="rId6" w:type="even"/>
          <w:pgSz w:w="11906" w:h="16838"/>
          <w:pgMar w:top="1440" w:right="1800" w:bottom="1440" w:left="1800" w:header="851" w:footer="992" w:gutter="0"/>
          <w:cols w:space="720" w:num="1"/>
          <w:titlePg/>
          <w:docGrid w:linePitch="312" w:charSpace="0"/>
        </w:sectPr>
      </w:pPr>
      <w:r>
        <w:rPr>
          <w:rFonts w:hint="eastAsia" w:ascii="仿宋" w:hAnsi="仿宋" w:eastAsia="仿宋" w:cs="仿宋"/>
          <w:b w:val="0"/>
          <w:bCs w:val="0"/>
          <w:sz w:val="28"/>
          <w:szCs w:val="28"/>
          <w:lang w:val="en-US" w:eastAsia="zh-CN"/>
        </w:rPr>
        <w:t>（投标方补充）</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14:paraId="53EFEAC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highlight w:val="none"/>
          <w:lang w:val="en-US" w:eastAsia="zh-CN"/>
        </w:rPr>
      </w:pPr>
    </w:p>
    <w:p w14:paraId="739A557E">
      <w:pPr>
        <w:spacing w:line="360" w:lineRule="auto"/>
        <w:rPr>
          <w:rFonts w:hint="eastAsia" w:ascii="宋体" w:hAnsi="宋体"/>
          <w:bCs/>
          <w:sz w:val="28"/>
          <w:szCs w:val="28"/>
        </w:rPr>
      </w:pPr>
    </w:p>
    <w:p w14:paraId="6463D644">
      <w:pPr>
        <w:spacing w:line="360" w:lineRule="auto"/>
        <w:rPr>
          <w:rFonts w:hint="eastAsia" w:ascii="宋体" w:hAnsi="宋体"/>
          <w:bCs/>
          <w:sz w:val="28"/>
          <w:szCs w:val="28"/>
        </w:rPr>
      </w:pPr>
    </w:p>
    <w:p w14:paraId="283CA88B">
      <w:pPr>
        <w:spacing w:line="360" w:lineRule="auto"/>
        <w:rPr>
          <w:rFonts w:hint="eastAsia" w:ascii="宋体" w:hAnsi="宋体"/>
          <w:bCs/>
          <w:sz w:val="28"/>
          <w:szCs w:val="28"/>
        </w:rPr>
      </w:pPr>
    </w:p>
    <w:p w14:paraId="3D018C68">
      <w:pPr>
        <w:spacing w:line="360" w:lineRule="auto"/>
        <w:rPr>
          <w:rFonts w:hint="eastAsia" w:ascii="宋体" w:hAnsi="宋体"/>
          <w:bCs/>
          <w:sz w:val="28"/>
          <w:szCs w:val="28"/>
        </w:rPr>
      </w:pPr>
    </w:p>
    <w:p w14:paraId="26335651">
      <w:pPr>
        <w:spacing w:line="360" w:lineRule="auto"/>
        <w:rPr>
          <w:rFonts w:hint="eastAsia" w:ascii="宋体" w:hAnsi="宋体"/>
          <w:bCs/>
          <w:sz w:val="28"/>
          <w:szCs w:val="28"/>
        </w:rPr>
      </w:pPr>
    </w:p>
    <w:p w14:paraId="52E53400">
      <w:pPr>
        <w:spacing w:line="360" w:lineRule="auto"/>
        <w:rPr>
          <w:rFonts w:hint="eastAsia" w:ascii="宋体" w:hAnsi="宋体"/>
          <w:bCs/>
          <w:sz w:val="28"/>
          <w:szCs w:val="28"/>
        </w:rPr>
      </w:pPr>
    </w:p>
    <w:p w14:paraId="37076E40">
      <w:pPr>
        <w:spacing w:line="360" w:lineRule="auto"/>
        <w:rPr>
          <w:rFonts w:hint="eastAsia" w:ascii="宋体" w:hAnsi="宋体"/>
          <w:bCs/>
          <w:sz w:val="28"/>
          <w:szCs w:val="28"/>
        </w:rPr>
      </w:pPr>
    </w:p>
    <w:p w14:paraId="3E529094">
      <w:pPr>
        <w:spacing w:line="360" w:lineRule="auto"/>
        <w:rPr>
          <w:rFonts w:hint="default" w:ascii="宋体" w:hAnsi="宋体" w:eastAsia="宋体"/>
          <w:bCs/>
          <w:sz w:val="28"/>
          <w:szCs w:val="28"/>
          <w:lang w:val="en-US" w:eastAsia="zh-CN"/>
        </w:rPr>
      </w:pPr>
    </w:p>
    <w:p w14:paraId="0C56FDCF">
      <w:pPr>
        <w:spacing w:after="120" w:afterLines="50" w:line="480" w:lineRule="auto"/>
        <w:jc w:val="both"/>
        <w:rPr>
          <w:rFonts w:ascii="Arial" w:eastAsia="黑体" w:cs="Arial"/>
          <w:bCs/>
          <w:sz w:val="44"/>
          <w:szCs w:val="21"/>
        </w:rPr>
      </w:pPr>
    </w:p>
    <w:sectPr>
      <w:headerReference r:id="rId8" w:type="default"/>
      <w:footerReference r:id="rId9" w:type="default"/>
      <w:pgSz w:w="11907" w:h="16840"/>
      <w:pgMar w:top="1418" w:right="1418" w:bottom="1077" w:left="141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Times">
    <w:altName w:val="Times New Roman"/>
    <w:panose1 w:val="02020603050405020304"/>
    <w:charset w:val="00"/>
    <w:family w:val="roman"/>
    <w:pitch w:val="default"/>
    <w:sig w:usb0="00000000" w:usb1="00000000" w:usb2="00000008" w:usb3="00000000" w:csb0="000001F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Yu Gothic UI">
    <w:panose1 w:val="020B0500000000000000"/>
    <w:charset w:val="80"/>
    <w:family w:val="swiss"/>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ACA7">
    <w:pPr>
      <w:pStyle w:val="3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862C3">
    <w:pPr>
      <w:pStyle w:val="39"/>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190EEF2">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7854B">
    <w:pPr>
      <w:pStyle w:val="39"/>
      <w:framePr w:wrap="around" w:vAnchor="text" w:hAnchor="margin" w:xAlign="center" w:y="1"/>
      <w:rPr>
        <w:rStyle w:val="64"/>
      </w:rPr>
    </w:pPr>
    <w:r>
      <w:fldChar w:fldCharType="begin"/>
    </w:r>
    <w:r>
      <w:rPr>
        <w:rStyle w:val="64"/>
      </w:rPr>
      <w:instrText xml:space="preserve">PAGE  </w:instrText>
    </w:r>
    <w:r>
      <w:fldChar w:fldCharType="separate"/>
    </w:r>
    <w:r>
      <w:rPr>
        <w:rStyle w:val="64"/>
      </w:rPr>
      <w:t>0</w:t>
    </w:r>
    <w:r>
      <w:fldChar w:fldCharType="end"/>
    </w:r>
  </w:p>
  <w:p w14:paraId="222D25DC">
    <w:pPr>
      <w:pStyle w:val="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1FEC9">
    <w:pPr>
      <w:pStyle w:val="39"/>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3DD3E5F0">
    <w:pPr>
      <w:pStyle w:val="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713295"/>
      <w:docPartObj>
        <w:docPartGallery w:val="autotext"/>
      </w:docPartObj>
    </w:sdtPr>
    <w:sdtContent>
      <w:p w14:paraId="52190B60">
        <w:pPr>
          <w:pStyle w:val="39"/>
          <w:jc w:val="center"/>
        </w:pPr>
        <w:r>
          <w:fldChar w:fldCharType="begin"/>
        </w:r>
        <w:r>
          <w:instrText xml:space="preserve">PAGE   \* MERGEFORMAT</w:instrText>
        </w:r>
        <w:r>
          <w:fldChar w:fldCharType="separate"/>
        </w:r>
        <w:r>
          <w:rPr>
            <w:lang w:val="zh-CN"/>
          </w:rPr>
          <w:t>2</w:t>
        </w:r>
        <w:r>
          <w:fldChar w:fldCharType="end"/>
        </w:r>
      </w:p>
    </w:sdtContent>
  </w:sdt>
  <w:p w14:paraId="3A0499D4">
    <w:pPr>
      <w:pStyle w:val="39"/>
    </w:pPr>
  </w:p>
  <w:p w14:paraId="5BB766C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A732">
    <w:pPr>
      <w:pStyle w:val="4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93F2">
    <w:pPr>
      <w:pStyle w:val="2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788670</wp:posOffset>
              </wp:positionH>
              <wp:positionV relativeFrom="page">
                <wp:posOffset>503555</wp:posOffset>
              </wp:positionV>
              <wp:extent cx="5892165" cy="231775"/>
              <wp:effectExtent l="0" t="0" r="0" b="0"/>
              <wp:wrapNone/>
              <wp:docPr id="30" name="文本框 14"/>
              <wp:cNvGraphicFramePr/>
              <a:graphic xmlns:a="http://schemas.openxmlformats.org/drawingml/2006/main">
                <a:graphicData uri="http://schemas.microsoft.com/office/word/2010/wordprocessingShape">
                  <wps:wsp>
                    <wps:cNvSpPr txBox="1"/>
                    <wps:spPr>
                      <a:xfrm>
                        <a:off x="0" y="0"/>
                        <a:ext cx="5892165" cy="231775"/>
                      </a:xfrm>
                      <a:prstGeom prst="rect">
                        <a:avLst/>
                      </a:prstGeom>
                      <a:noFill/>
                      <a:ln>
                        <a:noFill/>
                      </a:ln>
                    </wps:spPr>
                    <wps:txbx>
                      <w:txbxContent>
                        <w:p w14:paraId="27460BEE"/>
                      </w:txbxContent>
                    </wps:txbx>
                    <wps:bodyPr lIns="0" tIns="0" rIns="0" bIns="0" upright="1"/>
                  </wps:wsp>
                </a:graphicData>
              </a:graphic>
            </wp:anchor>
          </w:drawing>
        </mc:Choice>
        <mc:Fallback>
          <w:pict>
            <v:shape id="文本框 14" o:spid="_x0000_s1026" o:spt="202" type="#_x0000_t202" style="position:absolute;left:0pt;margin-left:62.1pt;margin-top:39.65pt;height:18.25pt;width:463.95pt;mso-position-horizontal-relative:page;mso-position-vertical-relative:page;z-index:-251657216;mso-width-relative:page;mso-height-relative:page;" filled="f" stroked="f" coordsize="21600,21600" o:gfxdata="UEsDBAoAAAAAAIdO4kAAAAAAAAAAAAAAAAAEAAAAZHJzL1BLAwQUAAAACACHTuJA7pWf8dkAAAAL&#10;AQAADwAAAGRycy9kb3ducmV2LnhtbE2PTU/DMAyG70j8h8hI3FjSwsZWmk4IwQkJrSsHjmnjtdUa&#10;pzTZB/8e7wQ3v/Kj14/z9dkN4ohT6D1pSGYKBFLjbU+ths/q7W4JIkRD1gyeUMMPBlgX11e5yaw/&#10;UYnHbWwFl1DIjIYuxjGTMjQdOhNmfkTi3c5PzkSOUyvtZE5c7gaZKrWQzvTEFzoz4kuHzX57cBqe&#10;v6h87b8/6k25K/uqWil6X+y1vr1J1BOIiOf4B8NFn9WhYKfaH8gGMXBOH1JGNTyu7kFcADVPExA1&#10;T8l8CbLI5f8fil9QSwMEFAAAAAgAh07iQFcRD+u9AQAAdAMAAA4AAABkcnMvZTJvRG9jLnhtbK1T&#10;S27bMBDdF8gdCO5jWU6dj2A5QGCkKFC0BdIegKZIiwB/GNKWfIH2Bl11033P5XNkSFlOmm6yyIYa&#10;zYzevPeGWtz2RpOdgKCcrWk5mVIiLHeNspuafv92f35NSYjMNkw7K2q6F4HeLs/eLTpfiZlrnW4E&#10;EASxoep8TdsYfVUUgbfCsDBxXlgsSgeGRXyFTdEA6xDd6GI2nV4WnYPGg+MiBMyuhiI9IsJrAJ2U&#10;iouV41sjbBxQQWgWUVJolQ90mdlKKXj8ImUQkeiaotKYTxyC8TqdxXLBqg0w3yp+pMBeQ+GFJsOU&#10;xaEnqBWLjGxB/QdlFAcXnIwT7kwxCMmOoIpy+sKbh5Z5kbWg1cGfTA9vB8s/774CUU1NL9ASywxu&#10;/PDr5+H338OfH6R8nwzqfKiw78FjZ+zvXI/XZswHTCbdvQSTnqiIYB2x9id7RR8Jx+T8+mZWXs4p&#10;4VibXZRXV/MEUzx97SHED8IZkoKaAq4vu8p2n0IcWseWNMy6e6V1XqG2/yQQM2WKRH2gmKLYr/uj&#10;nrVr9ihHf7RoZroYYwBjsB6DrQe1aZFOFp0hcRmZ9/HipG0/f8+Dn36W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lZ/x2QAAAAsBAAAPAAAAAAAAAAEAIAAAACIAAABkcnMvZG93bnJldi54bWxQ&#10;SwECFAAUAAAACACHTuJAVxEP670BAAB0AwAADgAAAAAAAAABACAAAAAoAQAAZHJzL2Uyb0RvYy54&#10;bWxQSwUGAAAAAAYABgBZAQAAVwUAAAAA&#10;">
              <v:fill on="f" focussize="0,0"/>
              <v:stroke on="f"/>
              <v:imagedata o:title=""/>
              <o:lock v:ext="edit" aspectratio="f"/>
              <v:textbox inset="0mm,0mm,0mm,0mm">
                <w:txbxContent>
                  <w:p w14:paraId="27460BEE"/>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827405</wp:posOffset>
              </wp:positionH>
              <wp:positionV relativeFrom="page">
                <wp:posOffset>671830</wp:posOffset>
              </wp:positionV>
              <wp:extent cx="5886450" cy="0"/>
              <wp:effectExtent l="0" t="4445" r="0" b="5080"/>
              <wp:wrapNone/>
              <wp:docPr id="29" name="直线 13"/>
              <wp:cNvGraphicFramePr/>
              <a:graphic xmlns:a="http://schemas.openxmlformats.org/drawingml/2006/main">
                <a:graphicData uri="http://schemas.microsoft.com/office/word/2010/wordprocessingShape">
                  <wps:wsp>
                    <wps:cNvCnPr/>
                    <wps:spPr>
                      <a:xfrm>
                        <a:off x="0" y="0"/>
                        <a:ext cx="5886450" cy="0"/>
                      </a:xfrm>
                      <a:prstGeom prst="line">
                        <a:avLst/>
                      </a:prstGeom>
                      <a:ln w="571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65.15pt;margin-top:52.9pt;height:0pt;width:463.5pt;mso-position-horizontal-relative:page;mso-position-vertical-relative:page;z-index:-251657216;mso-width-relative:page;mso-height-relative:page;" filled="f" stroked="t" coordsize="21600,21600" o:gfxdata="UEsDBAoAAAAAAIdO4kAAAAAAAAAAAAAAAAAEAAAAZHJzL1BLAwQUAAAACACHTuJAo82KOdYAAAAM&#10;AQAADwAAAGRycy9kb3ducmV2LnhtbE1PTWsCMRC9F/ofwhR6q4laa1k3K1LoRaRQW2q9xc3sB24m&#10;yya623/fEYT2Nu+DN++ly8E14oxdqD1pGI8UCKTc25pKDZ8frw/PIEI0ZE3jCTX8YIBldnuTmsT6&#10;nt7xvI2l4BAKidFQxdgmUoa8QmfCyLdIrBW+cyYy7EppO9NzuGvkRKkn6UxN/KEyLb5UmB+3J6dh&#10;4+z3bvPW7x/dZAhr3xdfq3Wh9f3dWC1ARBzinxku9bk6ZNzp4E9kg2gYT9WUrXyoGW+4ONRsztTh&#10;Sskslf9HZL9QSwMEFAAAAAgAh07iQEUWBwzpAQAA3QMAAA4AAABkcnMvZTJvRG9jLnhtbK1TS44T&#10;MRDdI3EHy3vSSSBDaKUziwnDBkEk4AAV291tyT+5nHRyFq7Big3HmWtQdmcyMGyyoBfusqv8qt6r&#10;8ur2aA07qIjau4bPJlPOlBNeatc1/NvX+1dLzjCBk2C8Uw0/KeS365cvVkOo1dz33kgVGYE4rIfQ&#10;8D6lUFcVil5ZwIkPypGz9dFCom3sKhlhIHRrqvl0elMNPsoQvVCIdLoZnfyMGK8B9G2rhdp4sbfK&#10;pRE1KgOJKGGvA/J1qbZtlUif2xZVYqbhxDSVlZKQvctrtV5B3UUIvRbnEuCaEp5xsqAdJb1AbSAB&#10;20f9D5TVInr0bZoIb6uRSFGEWMymz7T50kNQhQtJjeEiOv4/WPHpsI1My4bP33HmwFLHH77/ePj5&#10;i81eZ3WGgDUF3bltPO8wbGOmemyjzX8iwY5F0dNFUXVMTNDhYrm8ebMgscWjr3q6GCKmD8pblo2G&#10;G+0yWajh8BETJaPQx5B8bBwbCPHtbEFwQJPXUsfJtIGqR9eVu+iNlvfamHwDY7e7M5EdIHe/fJkS&#10;4f4VlpNsAPsxrrjGuegVyPdOsnQKJIuj58BzCVZJzoyi15MtAoQ6gTbXRFJq46iCrOqoY7Z2Xp6o&#10;C/sQddeTErNSZfZQ10u95wnNY/XnviA9vcr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PNijnW&#10;AAAADAEAAA8AAAAAAAAAAQAgAAAAIgAAAGRycy9kb3ducmV2LnhtbFBLAQIUABQAAAAIAIdO4kBF&#10;FgcM6QEAAN0DAAAOAAAAAAAAAAEAIAAAACUBAABkcnMvZTJvRG9jLnhtbFBLBQYAAAAABgAGAFkB&#10;AACABQAAAAA=&#10;">
              <v:fill on="f" focussize="0,0"/>
              <v:stroke weight="0.4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6244590</wp:posOffset>
              </wp:positionH>
              <wp:positionV relativeFrom="page">
                <wp:posOffset>545465</wp:posOffset>
              </wp:positionV>
              <wp:extent cx="482600" cy="139700"/>
              <wp:effectExtent l="0" t="0" r="0" b="0"/>
              <wp:wrapNone/>
              <wp:docPr id="31" name="文本框 15"/>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1938DE08"/>
                      </w:txbxContent>
                    </wps:txbx>
                    <wps:bodyPr lIns="0" tIns="0" rIns="0" bIns="0" upright="1"/>
                  </wps:wsp>
                </a:graphicData>
              </a:graphic>
            </wp:anchor>
          </w:drawing>
        </mc:Choice>
        <mc:Fallback>
          <w:pict>
            <v:shape id="文本框 15" o:spid="_x0000_s1026" o:spt="202" type="#_x0000_t202" style="position:absolute;left:0pt;margin-left:491.7pt;margin-top:42.95pt;height:11pt;width:38pt;mso-position-horizontal-relative:page;mso-position-vertical-relative:page;z-index:-251657216;mso-width-relative:page;mso-height-relative:page;" filled="f" stroked="f" coordsize="21600,21600" o:gfxdata="UEsDBAoAAAAAAIdO4kAAAAAAAAAAAAAAAAAEAAAAZHJzL1BLAwQUAAAACACHTuJAgPC+gtgAAAAL&#10;AQAADwAAAGRycy9kb3ducmV2LnhtbE2Py07DMBBF90j8gzVI7KhdoCUOcSqEYIWESMOCpRNPE6vx&#10;OMTug7/HWcFuHkd3zhSbsxvYEadgPSlYLgQwpNYbS52Cz/r1JgMWoiajB0+o4AcDbMrLi0Lnxp+o&#10;wuM2diyFUMi1gj7GMec8tD06HRZ+REq7nZ+cjqmdOm4mfUrhbuC3Qqy505bShV6P+Nxju98enIKn&#10;L6pe7Pd781HtKlvXUtDbeq/U9dVSPAKLeI5/MMz6SR3K5NT4A5nABgUyu7tPqIJsJYHNgFjJNGnm&#10;6kECLwv+/4fyF1BLAwQUAAAACACHTuJA0X70P7sBAABzAwAADgAAAGRycy9lMm9Eb2MueG1srVNL&#10;btswEN0X6B0I7mtKTpomguUAhZGgQNEWSHIAmqIsAvyBQ1vyBdobdNVN9z2Xz5EhZTlpusmiG+pp&#10;ZvRm3htqcT0YTXYygHK2puWsoERa4RplNzV9uL95d0kJRG4brp2VNd1LoNfLt28Wva/k3HVONzIQ&#10;JLFQ9b6mXYy+YgxEJw2HmfPSYrJ1wfCIr2HDmsB7ZDeazYvigvUuND44IQEwuhqT9MgYXkPo2lYJ&#10;uXJia6SNI2uQmkeUBJ3yQJd52raVIn5tW5CR6Jqi0phPbIJ4nU62XPBqE7jvlDiOwF8zwgtNhiuL&#10;TU9UKx452Qb1D5VRIjhwbZwJZ9goJDuCKsrihTd3Hfcya0GrwZ9Mh/9HK77svgWimpqelZRYbnDj&#10;h58/Dr/+HH5/J+X7ZFDvocK6O4+VcfjoBrw2UxwwmHQPbTDpiYoI5tHe/cleOUQiMHh+Ob8oMCMw&#10;VZ5dfUCM7OzpYx8g3kpnSAI1Dbi9bCrffYY4lk4lqZd1N0rrvEFt/wogZ4qwNPk4YUJxWA9HOWvX&#10;7FGN/mTRy3QvJhAmsJ7A1ge16XCcrDlT4i7y3Md7k5b9/D03fvpXl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8L6C2AAAAAsBAAAPAAAAAAAAAAEAIAAAACIAAABkcnMvZG93bnJldi54bWxQSwEC&#10;FAAUAAAACACHTuJA0X70P7sBAABzAwAADgAAAAAAAAABACAAAAAnAQAAZHJzL2Uyb0RvYy54bWxQ&#10;SwUGAAAAAAYABgBZAQAAVAUAAAAA&#10;">
              <v:fill on="f" focussize="0,0"/>
              <v:stroke on="f"/>
              <v:imagedata o:title=""/>
              <o:lock v:ext="edit" aspectratio="f"/>
              <v:textbox inset="0mm,0mm,0mm,0mm">
                <w:txbxContent>
                  <w:p w14:paraId="1938DE08"/>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3"/>
      <w:numFmt w:val="decimal"/>
      <w:pStyle w:val="296"/>
      <w:lvlText w:val="%1"/>
      <w:lvlJc w:val="left"/>
      <w:pPr>
        <w:tabs>
          <w:tab w:val="left" w:pos="600"/>
        </w:tabs>
        <w:ind w:left="600" w:hanging="600"/>
      </w:pPr>
      <w:rPr>
        <w:rFonts w:hint="default"/>
      </w:rPr>
    </w:lvl>
    <w:lvl w:ilvl="1" w:tentative="0">
      <w:start w:val="3"/>
      <w:numFmt w:val="decimal"/>
      <w:lvlText w:val="%1.%2"/>
      <w:lvlJc w:val="left"/>
      <w:pPr>
        <w:tabs>
          <w:tab w:val="left" w:pos="600"/>
        </w:tabs>
        <w:ind w:left="600" w:hanging="600"/>
      </w:pPr>
      <w:rPr>
        <w:rFonts w:hint="default"/>
      </w:rPr>
    </w:lvl>
    <w:lvl w:ilvl="2" w:tentative="0">
      <w:start w:val="1"/>
      <w:numFmt w:val="decimal"/>
      <w:lvlText w:val="%1.%2.%3"/>
      <w:lvlJc w:val="left"/>
      <w:pPr>
        <w:tabs>
          <w:tab w:val="left" w:pos="600"/>
        </w:tabs>
        <w:ind w:left="600" w:hanging="600"/>
      </w:pPr>
      <w:rPr>
        <w:rFonts w:hint="default"/>
      </w:rPr>
    </w:lvl>
    <w:lvl w:ilvl="3" w:tentative="0">
      <w:start w:val="1"/>
      <w:numFmt w:val="decimal"/>
      <w:lvlText w:val="%1.%2.%3.%4"/>
      <w:lvlJc w:val="left"/>
      <w:pPr>
        <w:tabs>
          <w:tab w:val="left" w:pos="600"/>
        </w:tabs>
        <w:ind w:left="600" w:hanging="60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1">
    <w:nsid w:val="0000000A"/>
    <w:multiLevelType w:val="multilevel"/>
    <w:tmpl w:val="0000000A"/>
    <w:lvl w:ilvl="0" w:tentative="0">
      <w:start w:val="1"/>
      <w:numFmt w:val="bullet"/>
      <w:pStyle w:val="27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B4631B2"/>
    <w:multiLevelType w:val="multilevel"/>
    <w:tmpl w:val="0B4631B2"/>
    <w:lvl w:ilvl="0" w:tentative="0">
      <w:start w:val="1"/>
      <w:numFmt w:val="decimal"/>
      <w:pStyle w:val="261"/>
      <w:lvlText w:val="（%1）"/>
      <w:lvlJc w:val="right"/>
      <w:pPr>
        <w:tabs>
          <w:tab w:val="left" w:pos="560"/>
        </w:tabs>
        <w:ind w:left="56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E462605"/>
    <w:multiLevelType w:val="multilevel"/>
    <w:tmpl w:val="1E462605"/>
    <w:lvl w:ilvl="0" w:tentative="0">
      <w:start w:val="1"/>
      <w:numFmt w:val="decimal"/>
      <w:lvlText w:val="%1"/>
      <w:lvlJc w:val="left"/>
      <w:pPr>
        <w:tabs>
          <w:tab w:val="left" w:pos="495"/>
        </w:tabs>
        <w:ind w:left="495" w:hanging="495"/>
      </w:pPr>
      <w:rPr>
        <w:rFonts w:hint="default"/>
      </w:rPr>
    </w:lvl>
    <w:lvl w:ilvl="1" w:tentative="0">
      <w:start w:val="1"/>
      <w:numFmt w:val="decimal"/>
      <w:lvlText w:val="%1.%2"/>
      <w:lvlJc w:val="left"/>
      <w:pPr>
        <w:tabs>
          <w:tab w:val="left" w:pos="495"/>
        </w:tabs>
        <w:ind w:left="495" w:hanging="495"/>
      </w:pPr>
      <w:rPr>
        <w:rFonts w:hint="default"/>
      </w:rPr>
    </w:lvl>
    <w:lvl w:ilvl="2" w:tentative="0">
      <w:start w:val="1"/>
      <w:numFmt w:val="decimal"/>
      <w:pStyle w:val="280"/>
      <w:lvlText w:val="%1.%2.%3"/>
      <w:lvlJc w:val="left"/>
      <w:pPr>
        <w:tabs>
          <w:tab w:val="left" w:pos="495"/>
        </w:tabs>
        <w:ind w:left="495" w:hanging="495"/>
      </w:pPr>
      <w:rPr>
        <w:rFonts w:hint="default"/>
      </w:rPr>
    </w:lvl>
    <w:lvl w:ilvl="3" w:tentative="0">
      <w:start w:val="1"/>
      <w:numFmt w:val="decimal"/>
      <w:pStyle w:val="91"/>
      <w:lvlText w:val="%1.%2.%3.%4"/>
      <w:lvlJc w:val="left"/>
      <w:pPr>
        <w:tabs>
          <w:tab w:val="left" w:pos="720"/>
        </w:tabs>
        <w:ind w:left="495" w:hanging="495"/>
      </w:pPr>
      <w:rPr>
        <w:rFonts w:hint="default"/>
      </w:rPr>
    </w:lvl>
    <w:lvl w:ilvl="4" w:tentative="0">
      <w:start w:val="1"/>
      <w:numFmt w:val="decimal"/>
      <w:lvlText w:val="%1.%2.%3.%4.%5"/>
      <w:lvlJc w:val="left"/>
      <w:pPr>
        <w:tabs>
          <w:tab w:val="left" w:pos="495"/>
        </w:tabs>
        <w:ind w:left="495" w:hanging="495"/>
      </w:pPr>
      <w:rPr>
        <w:rFonts w:hint="default"/>
      </w:rPr>
    </w:lvl>
    <w:lvl w:ilvl="5" w:tentative="0">
      <w:start w:val="1"/>
      <w:numFmt w:val="decimal"/>
      <w:lvlText w:val="%1.%2.%3.%4.%5.%6"/>
      <w:lvlJc w:val="left"/>
      <w:pPr>
        <w:tabs>
          <w:tab w:val="left" w:pos="495"/>
        </w:tabs>
        <w:ind w:left="495" w:hanging="495"/>
      </w:pPr>
      <w:rPr>
        <w:rFonts w:hint="default"/>
      </w:rPr>
    </w:lvl>
    <w:lvl w:ilvl="6" w:tentative="0">
      <w:start w:val="1"/>
      <w:numFmt w:val="decimal"/>
      <w:lvlText w:val="%1.%2.%3.%4.%5.%6.%7"/>
      <w:lvlJc w:val="left"/>
      <w:pPr>
        <w:tabs>
          <w:tab w:val="left" w:pos="495"/>
        </w:tabs>
        <w:ind w:left="495" w:hanging="495"/>
      </w:pPr>
      <w:rPr>
        <w:rFonts w:hint="default"/>
      </w:rPr>
    </w:lvl>
    <w:lvl w:ilvl="7" w:tentative="0">
      <w:start w:val="1"/>
      <w:numFmt w:val="decimal"/>
      <w:lvlText w:val="%1.%2.%3.%4.%5.%6.%7.%8"/>
      <w:lvlJc w:val="left"/>
      <w:pPr>
        <w:tabs>
          <w:tab w:val="left" w:pos="495"/>
        </w:tabs>
        <w:ind w:left="495" w:hanging="495"/>
      </w:pPr>
      <w:rPr>
        <w:rFonts w:hint="default"/>
      </w:rPr>
    </w:lvl>
    <w:lvl w:ilvl="8" w:tentative="0">
      <w:start w:val="1"/>
      <w:numFmt w:val="decimal"/>
      <w:lvlText w:val="%1.%2.%3.%4.%5.%6.%7.%8.%9"/>
      <w:lvlJc w:val="left"/>
      <w:pPr>
        <w:tabs>
          <w:tab w:val="left" w:pos="495"/>
        </w:tabs>
        <w:ind w:left="495" w:hanging="495"/>
      </w:pPr>
      <w:rPr>
        <w:rFonts w:hint="default"/>
      </w:rPr>
    </w:lvl>
  </w:abstractNum>
  <w:abstractNum w:abstractNumId="4">
    <w:nsid w:val="280E7E2B"/>
    <w:multiLevelType w:val="singleLevel"/>
    <w:tmpl w:val="280E7E2B"/>
    <w:lvl w:ilvl="0" w:tentative="0">
      <w:start w:val="1"/>
      <w:numFmt w:val="decimal"/>
      <w:suff w:val="nothing"/>
      <w:lvlText w:val="（%1）"/>
      <w:lvlJc w:val="left"/>
    </w:lvl>
  </w:abstractNum>
  <w:abstractNum w:abstractNumId="5">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5"/>
      <w:lvlText w:val="%3."/>
      <w:lvlJc w:val="right"/>
      <w:pPr>
        <w:ind w:left="1260" w:hanging="420"/>
      </w:pPr>
    </w:lvl>
    <w:lvl w:ilvl="3" w:tentative="0">
      <w:start w:val="1"/>
      <w:numFmt w:val="decimal"/>
      <w:pStyle w:val="6"/>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pStyle w:val="8"/>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6">
    <w:nsid w:val="52BF9E4B"/>
    <w:multiLevelType w:val="singleLevel"/>
    <w:tmpl w:val="52BF9E4B"/>
    <w:lvl w:ilvl="0" w:tentative="0">
      <w:start w:val="1"/>
      <w:numFmt w:val="decimal"/>
      <w:suff w:val="nothing"/>
      <w:lvlText w:val="（%1）"/>
      <w:lvlJc w:val="left"/>
    </w:lvl>
  </w:abstractNum>
  <w:abstractNum w:abstractNumId="7">
    <w:nsid w:val="6063AD4D"/>
    <w:multiLevelType w:val="singleLevel"/>
    <w:tmpl w:val="6063AD4D"/>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8">
    <w:nsid w:val="7ABF536F"/>
    <w:multiLevelType w:val="singleLevel"/>
    <w:tmpl w:val="7ABF536F"/>
    <w:lvl w:ilvl="0" w:tentative="0">
      <w:start w:val="1"/>
      <w:numFmt w:val="decimal"/>
      <w:pStyle w:val="33"/>
      <w:lvlText w:val="%1."/>
      <w:lvlJc w:val="left"/>
      <w:pPr>
        <w:tabs>
          <w:tab w:val="left" w:pos="2040"/>
        </w:tabs>
        <w:ind w:left="2040" w:hanging="360"/>
      </w:pPr>
    </w:lvl>
  </w:abstractNum>
  <w:num w:numId="1">
    <w:abstractNumId w:val="5"/>
  </w:num>
  <w:num w:numId="2">
    <w:abstractNumId w:val="7"/>
  </w:num>
  <w:num w:numId="3">
    <w:abstractNumId w:val="8"/>
  </w:num>
  <w:num w:numId="4">
    <w:abstractNumId w:val="3"/>
  </w:num>
  <w:num w:numId="5">
    <w:abstractNumId w:val="2"/>
  </w:num>
  <w:num w:numId="6">
    <w:abstractNumId w:val="1"/>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01192"/>
    <w:rsid w:val="00014958"/>
    <w:rsid w:val="00017E22"/>
    <w:rsid w:val="00021A19"/>
    <w:rsid w:val="00035243"/>
    <w:rsid w:val="00063AE7"/>
    <w:rsid w:val="0007561B"/>
    <w:rsid w:val="000759B6"/>
    <w:rsid w:val="00076974"/>
    <w:rsid w:val="00087117"/>
    <w:rsid w:val="00093456"/>
    <w:rsid w:val="000A430E"/>
    <w:rsid w:val="000A629A"/>
    <w:rsid w:val="000A63C8"/>
    <w:rsid w:val="000A6C35"/>
    <w:rsid w:val="000B3BC6"/>
    <w:rsid w:val="000B4A68"/>
    <w:rsid w:val="000C1544"/>
    <w:rsid w:val="000C577E"/>
    <w:rsid w:val="000D148B"/>
    <w:rsid w:val="000E227E"/>
    <w:rsid w:val="000E3193"/>
    <w:rsid w:val="000F09EB"/>
    <w:rsid w:val="00100ADC"/>
    <w:rsid w:val="00101885"/>
    <w:rsid w:val="001136DE"/>
    <w:rsid w:val="00114267"/>
    <w:rsid w:val="00122D0C"/>
    <w:rsid w:val="00123226"/>
    <w:rsid w:val="00125F20"/>
    <w:rsid w:val="00135396"/>
    <w:rsid w:val="00143BAB"/>
    <w:rsid w:val="00147F6D"/>
    <w:rsid w:val="0015006D"/>
    <w:rsid w:val="00152308"/>
    <w:rsid w:val="00160FEE"/>
    <w:rsid w:val="00162169"/>
    <w:rsid w:val="00172A27"/>
    <w:rsid w:val="00177B74"/>
    <w:rsid w:val="00182A42"/>
    <w:rsid w:val="001930C9"/>
    <w:rsid w:val="001A2335"/>
    <w:rsid w:val="001A673E"/>
    <w:rsid w:val="001B233B"/>
    <w:rsid w:val="001B355C"/>
    <w:rsid w:val="001B4416"/>
    <w:rsid w:val="001B464F"/>
    <w:rsid w:val="001B7F79"/>
    <w:rsid w:val="001C149E"/>
    <w:rsid w:val="001C3096"/>
    <w:rsid w:val="001C457B"/>
    <w:rsid w:val="001D0883"/>
    <w:rsid w:val="001D19C8"/>
    <w:rsid w:val="001F28D0"/>
    <w:rsid w:val="001F7DD5"/>
    <w:rsid w:val="002212E4"/>
    <w:rsid w:val="00221C74"/>
    <w:rsid w:val="002234D1"/>
    <w:rsid w:val="002502DE"/>
    <w:rsid w:val="00250DF9"/>
    <w:rsid w:val="00255C5F"/>
    <w:rsid w:val="00262E70"/>
    <w:rsid w:val="00264FE9"/>
    <w:rsid w:val="00265237"/>
    <w:rsid w:val="00266FE6"/>
    <w:rsid w:val="00286D83"/>
    <w:rsid w:val="00294589"/>
    <w:rsid w:val="00296F40"/>
    <w:rsid w:val="002A5FD4"/>
    <w:rsid w:val="002A7572"/>
    <w:rsid w:val="002C0F24"/>
    <w:rsid w:val="002C3BBA"/>
    <w:rsid w:val="002D109A"/>
    <w:rsid w:val="002D1AAA"/>
    <w:rsid w:val="002D25FD"/>
    <w:rsid w:val="002D4581"/>
    <w:rsid w:val="002E634B"/>
    <w:rsid w:val="002F446C"/>
    <w:rsid w:val="002F6B88"/>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29EE"/>
    <w:rsid w:val="0038572F"/>
    <w:rsid w:val="00387328"/>
    <w:rsid w:val="003925E1"/>
    <w:rsid w:val="0039674B"/>
    <w:rsid w:val="0039714B"/>
    <w:rsid w:val="003A3FAE"/>
    <w:rsid w:val="003B2CBC"/>
    <w:rsid w:val="003B2DF9"/>
    <w:rsid w:val="003B7D4B"/>
    <w:rsid w:val="003C2F57"/>
    <w:rsid w:val="003F2CE9"/>
    <w:rsid w:val="004020C5"/>
    <w:rsid w:val="00420519"/>
    <w:rsid w:val="0043176C"/>
    <w:rsid w:val="00431AAD"/>
    <w:rsid w:val="00433169"/>
    <w:rsid w:val="00433ADF"/>
    <w:rsid w:val="00435497"/>
    <w:rsid w:val="00441FBA"/>
    <w:rsid w:val="00446EA7"/>
    <w:rsid w:val="00457BC3"/>
    <w:rsid w:val="00460296"/>
    <w:rsid w:val="00463ACF"/>
    <w:rsid w:val="004648CE"/>
    <w:rsid w:val="00465C67"/>
    <w:rsid w:val="00470A4A"/>
    <w:rsid w:val="004710CA"/>
    <w:rsid w:val="00471A96"/>
    <w:rsid w:val="00476A3A"/>
    <w:rsid w:val="004844D0"/>
    <w:rsid w:val="00490210"/>
    <w:rsid w:val="004908D8"/>
    <w:rsid w:val="00495471"/>
    <w:rsid w:val="004B0881"/>
    <w:rsid w:val="004B3A19"/>
    <w:rsid w:val="004C3A41"/>
    <w:rsid w:val="004D1EB4"/>
    <w:rsid w:val="004D2674"/>
    <w:rsid w:val="004D2CAC"/>
    <w:rsid w:val="004D5E99"/>
    <w:rsid w:val="004D7FE4"/>
    <w:rsid w:val="004E2187"/>
    <w:rsid w:val="004E3186"/>
    <w:rsid w:val="004E599F"/>
    <w:rsid w:val="004E59FB"/>
    <w:rsid w:val="004F0BB3"/>
    <w:rsid w:val="004F1824"/>
    <w:rsid w:val="004F367A"/>
    <w:rsid w:val="004F7266"/>
    <w:rsid w:val="00506C06"/>
    <w:rsid w:val="00506F70"/>
    <w:rsid w:val="0051144B"/>
    <w:rsid w:val="00514613"/>
    <w:rsid w:val="00520F21"/>
    <w:rsid w:val="005250A0"/>
    <w:rsid w:val="00530851"/>
    <w:rsid w:val="005311A5"/>
    <w:rsid w:val="005374D9"/>
    <w:rsid w:val="00537699"/>
    <w:rsid w:val="005410FE"/>
    <w:rsid w:val="00541729"/>
    <w:rsid w:val="00542117"/>
    <w:rsid w:val="00544ADB"/>
    <w:rsid w:val="005451C0"/>
    <w:rsid w:val="005549E6"/>
    <w:rsid w:val="00555326"/>
    <w:rsid w:val="00561F27"/>
    <w:rsid w:val="00564C6A"/>
    <w:rsid w:val="005656DA"/>
    <w:rsid w:val="0056634D"/>
    <w:rsid w:val="0057392F"/>
    <w:rsid w:val="00580C8E"/>
    <w:rsid w:val="00590606"/>
    <w:rsid w:val="005A12BF"/>
    <w:rsid w:val="005A5382"/>
    <w:rsid w:val="005C0154"/>
    <w:rsid w:val="005C4626"/>
    <w:rsid w:val="005D0195"/>
    <w:rsid w:val="005D356E"/>
    <w:rsid w:val="005D5EC3"/>
    <w:rsid w:val="005D7384"/>
    <w:rsid w:val="005E369F"/>
    <w:rsid w:val="005F0514"/>
    <w:rsid w:val="00606F0D"/>
    <w:rsid w:val="0060755D"/>
    <w:rsid w:val="00621922"/>
    <w:rsid w:val="00631F12"/>
    <w:rsid w:val="006344D4"/>
    <w:rsid w:val="00636282"/>
    <w:rsid w:val="0064219E"/>
    <w:rsid w:val="00642C82"/>
    <w:rsid w:val="00643A60"/>
    <w:rsid w:val="00645C47"/>
    <w:rsid w:val="006505E8"/>
    <w:rsid w:val="00650AE9"/>
    <w:rsid w:val="00651544"/>
    <w:rsid w:val="00656CBF"/>
    <w:rsid w:val="0067632C"/>
    <w:rsid w:val="00683D50"/>
    <w:rsid w:val="00683DB8"/>
    <w:rsid w:val="00686774"/>
    <w:rsid w:val="006A71E2"/>
    <w:rsid w:val="006C0AD7"/>
    <w:rsid w:val="006C0D2C"/>
    <w:rsid w:val="006C56B1"/>
    <w:rsid w:val="006D1C7F"/>
    <w:rsid w:val="006E1A10"/>
    <w:rsid w:val="006E60DD"/>
    <w:rsid w:val="006F07A8"/>
    <w:rsid w:val="006F3196"/>
    <w:rsid w:val="006F5F71"/>
    <w:rsid w:val="00704A18"/>
    <w:rsid w:val="00706CAD"/>
    <w:rsid w:val="0071702B"/>
    <w:rsid w:val="00727848"/>
    <w:rsid w:val="00734694"/>
    <w:rsid w:val="0074483E"/>
    <w:rsid w:val="00745E5F"/>
    <w:rsid w:val="00754A56"/>
    <w:rsid w:val="007561F1"/>
    <w:rsid w:val="0076591A"/>
    <w:rsid w:val="0077126E"/>
    <w:rsid w:val="00771B23"/>
    <w:rsid w:val="00773286"/>
    <w:rsid w:val="00774FCB"/>
    <w:rsid w:val="00776876"/>
    <w:rsid w:val="00780F4D"/>
    <w:rsid w:val="00782EEE"/>
    <w:rsid w:val="00796ECA"/>
    <w:rsid w:val="007A0B55"/>
    <w:rsid w:val="007B1C1F"/>
    <w:rsid w:val="007B20A3"/>
    <w:rsid w:val="007B426B"/>
    <w:rsid w:val="007C0605"/>
    <w:rsid w:val="007C1338"/>
    <w:rsid w:val="007C2853"/>
    <w:rsid w:val="007C393C"/>
    <w:rsid w:val="007C7177"/>
    <w:rsid w:val="007D3BA1"/>
    <w:rsid w:val="007E157D"/>
    <w:rsid w:val="007E7FA3"/>
    <w:rsid w:val="007F10B8"/>
    <w:rsid w:val="007F123A"/>
    <w:rsid w:val="00804617"/>
    <w:rsid w:val="008069F5"/>
    <w:rsid w:val="0081003B"/>
    <w:rsid w:val="008151B6"/>
    <w:rsid w:val="00820777"/>
    <w:rsid w:val="00827856"/>
    <w:rsid w:val="00833FCF"/>
    <w:rsid w:val="00834292"/>
    <w:rsid w:val="00834C8C"/>
    <w:rsid w:val="00834E46"/>
    <w:rsid w:val="00840153"/>
    <w:rsid w:val="00862764"/>
    <w:rsid w:val="008711A6"/>
    <w:rsid w:val="00875A6C"/>
    <w:rsid w:val="00877F0C"/>
    <w:rsid w:val="008901EE"/>
    <w:rsid w:val="00892A23"/>
    <w:rsid w:val="008A1037"/>
    <w:rsid w:val="008A30DB"/>
    <w:rsid w:val="008A402C"/>
    <w:rsid w:val="008A4D95"/>
    <w:rsid w:val="008B2B82"/>
    <w:rsid w:val="008B4000"/>
    <w:rsid w:val="008B4059"/>
    <w:rsid w:val="008C032A"/>
    <w:rsid w:val="008D1E20"/>
    <w:rsid w:val="008E2B73"/>
    <w:rsid w:val="008E4D90"/>
    <w:rsid w:val="008F46E1"/>
    <w:rsid w:val="00906684"/>
    <w:rsid w:val="0091258E"/>
    <w:rsid w:val="00915112"/>
    <w:rsid w:val="00920AA4"/>
    <w:rsid w:val="00926538"/>
    <w:rsid w:val="00930FF1"/>
    <w:rsid w:val="00932694"/>
    <w:rsid w:val="00937FCC"/>
    <w:rsid w:val="009567EC"/>
    <w:rsid w:val="0096311A"/>
    <w:rsid w:val="009724DD"/>
    <w:rsid w:val="00972CB7"/>
    <w:rsid w:val="00974939"/>
    <w:rsid w:val="009765FF"/>
    <w:rsid w:val="00976EBC"/>
    <w:rsid w:val="00982B8E"/>
    <w:rsid w:val="00984DB1"/>
    <w:rsid w:val="00987C5C"/>
    <w:rsid w:val="0099002E"/>
    <w:rsid w:val="00997DF3"/>
    <w:rsid w:val="009A34C9"/>
    <w:rsid w:val="009A3B4E"/>
    <w:rsid w:val="009A4D70"/>
    <w:rsid w:val="009B601C"/>
    <w:rsid w:val="009B6514"/>
    <w:rsid w:val="009B6811"/>
    <w:rsid w:val="009C1EC6"/>
    <w:rsid w:val="009C38FA"/>
    <w:rsid w:val="009C6F49"/>
    <w:rsid w:val="009D2967"/>
    <w:rsid w:val="009D2D3D"/>
    <w:rsid w:val="009E06C9"/>
    <w:rsid w:val="009F0AF0"/>
    <w:rsid w:val="00A02A81"/>
    <w:rsid w:val="00A10171"/>
    <w:rsid w:val="00A10E90"/>
    <w:rsid w:val="00A16A7C"/>
    <w:rsid w:val="00A17EFF"/>
    <w:rsid w:val="00A25D33"/>
    <w:rsid w:val="00A25DB0"/>
    <w:rsid w:val="00A25FBD"/>
    <w:rsid w:val="00A343C4"/>
    <w:rsid w:val="00A43126"/>
    <w:rsid w:val="00A46423"/>
    <w:rsid w:val="00A64FB2"/>
    <w:rsid w:val="00A65595"/>
    <w:rsid w:val="00A74369"/>
    <w:rsid w:val="00A7470F"/>
    <w:rsid w:val="00A75856"/>
    <w:rsid w:val="00A80992"/>
    <w:rsid w:val="00A85038"/>
    <w:rsid w:val="00A86D75"/>
    <w:rsid w:val="00AA6330"/>
    <w:rsid w:val="00AB36FB"/>
    <w:rsid w:val="00AB792C"/>
    <w:rsid w:val="00AC2570"/>
    <w:rsid w:val="00AC54D9"/>
    <w:rsid w:val="00AD0EE3"/>
    <w:rsid w:val="00AD7F1C"/>
    <w:rsid w:val="00AF1EB4"/>
    <w:rsid w:val="00B01ED5"/>
    <w:rsid w:val="00B1474B"/>
    <w:rsid w:val="00B149F8"/>
    <w:rsid w:val="00B15581"/>
    <w:rsid w:val="00B2664C"/>
    <w:rsid w:val="00B32A94"/>
    <w:rsid w:val="00B35A13"/>
    <w:rsid w:val="00B35A1D"/>
    <w:rsid w:val="00B553B7"/>
    <w:rsid w:val="00B63370"/>
    <w:rsid w:val="00B710D8"/>
    <w:rsid w:val="00B71E11"/>
    <w:rsid w:val="00B832DC"/>
    <w:rsid w:val="00B90678"/>
    <w:rsid w:val="00B91A45"/>
    <w:rsid w:val="00B92639"/>
    <w:rsid w:val="00B96A99"/>
    <w:rsid w:val="00BA0789"/>
    <w:rsid w:val="00BA11C0"/>
    <w:rsid w:val="00BA75DD"/>
    <w:rsid w:val="00BB5A35"/>
    <w:rsid w:val="00BC39C3"/>
    <w:rsid w:val="00BE09FA"/>
    <w:rsid w:val="00BE75A7"/>
    <w:rsid w:val="00BF0614"/>
    <w:rsid w:val="00C00F9B"/>
    <w:rsid w:val="00C02A04"/>
    <w:rsid w:val="00C10C0F"/>
    <w:rsid w:val="00C12F21"/>
    <w:rsid w:val="00C23A41"/>
    <w:rsid w:val="00C26C29"/>
    <w:rsid w:val="00C3022A"/>
    <w:rsid w:val="00C31583"/>
    <w:rsid w:val="00C376AB"/>
    <w:rsid w:val="00C424A1"/>
    <w:rsid w:val="00C424C9"/>
    <w:rsid w:val="00C46F5D"/>
    <w:rsid w:val="00C72148"/>
    <w:rsid w:val="00C85787"/>
    <w:rsid w:val="00C871C4"/>
    <w:rsid w:val="00C93F19"/>
    <w:rsid w:val="00CA7B36"/>
    <w:rsid w:val="00CB0ED3"/>
    <w:rsid w:val="00CB61CC"/>
    <w:rsid w:val="00CB6CDF"/>
    <w:rsid w:val="00CC0F69"/>
    <w:rsid w:val="00CC3F31"/>
    <w:rsid w:val="00CC4A26"/>
    <w:rsid w:val="00D04461"/>
    <w:rsid w:val="00D1042D"/>
    <w:rsid w:val="00D20D7E"/>
    <w:rsid w:val="00D33390"/>
    <w:rsid w:val="00D33AD7"/>
    <w:rsid w:val="00D43277"/>
    <w:rsid w:val="00D44125"/>
    <w:rsid w:val="00D52617"/>
    <w:rsid w:val="00D57478"/>
    <w:rsid w:val="00D62932"/>
    <w:rsid w:val="00D65618"/>
    <w:rsid w:val="00D735B1"/>
    <w:rsid w:val="00D73883"/>
    <w:rsid w:val="00D77DC0"/>
    <w:rsid w:val="00D81B4E"/>
    <w:rsid w:val="00D82864"/>
    <w:rsid w:val="00D86B26"/>
    <w:rsid w:val="00D95280"/>
    <w:rsid w:val="00D97434"/>
    <w:rsid w:val="00DB12F0"/>
    <w:rsid w:val="00DB3C3C"/>
    <w:rsid w:val="00DC0037"/>
    <w:rsid w:val="00DD3904"/>
    <w:rsid w:val="00DD3923"/>
    <w:rsid w:val="00DD584F"/>
    <w:rsid w:val="00DE2E07"/>
    <w:rsid w:val="00DE33FA"/>
    <w:rsid w:val="00DF48A9"/>
    <w:rsid w:val="00DF4C4C"/>
    <w:rsid w:val="00E00B22"/>
    <w:rsid w:val="00E02A60"/>
    <w:rsid w:val="00E11A29"/>
    <w:rsid w:val="00E24362"/>
    <w:rsid w:val="00E24CBF"/>
    <w:rsid w:val="00E31C78"/>
    <w:rsid w:val="00E32360"/>
    <w:rsid w:val="00E35584"/>
    <w:rsid w:val="00E361D7"/>
    <w:rsid w:val="00E442A9"/>
    <w:rsid w:val="00E44910"/>
    <w:rsid w:val="00E616C7"/>
    <w:rsid w:val="00E622B8"/>
    <w:rsid w:val="00E63105"/>
    <w:rsid w:val="00E73BE0"/>
    <w:rsid w:val="00E93231"/>
    <w:rsid w:val="00EA1517"/>
    <w:rsid w:val="00EA4AD0"/>
    <w:rsid w:val="00EA568D"/>
    <w:rsid w:val="00EA683A"/>
    <w:rsid w:val="00EB1D8B"/>
    <w:rsid w:val="00EB4CE1"/>
    <w:rsid w:val="00EB6171"/>
    <w:rsid w:val="00EC28CE"/>
    <w:rsid w:val="00ED3CAC"/>
    <w:rsid w:val="00ED40B2"/>
    <w:rsid w:val="00ED4C1A"/>
    <w:rsid w:val="00EE5910"/>
    <w:rsid w:val="00EE7275"/>
    <w:rsid w:val="00F0444A"/>
    <w:rsid w:val="00F12579"/>
    <w:rsid w:val="00F13D31"/>
    <w:rsid w:val="00F21827"/>
    <w:rsid w:val="00F219A3"/>
    <w:rsid w:val="00F23549"/>
    <w:rsid w:val="00F33C8A"/>
    <w:rsid w:val="00F34535"/>
    <w:rsid w:val="00F35CA8"/>
    <w:rsid w:val="00F40707"/>
    <w:rsid w:val="00F410B5"/>
    <w:rsid w:val="00F5089F"/>
    <w:rsid w:val="00F51681"/>
    <w:rsid w:val="00F6074A"/>
    <w:rsid w:val="00F61E16"/>
    <w:rsid w:val="00F62791"/>
    <w:rsid w:val="00F6289C"/>
    <w:rsid w:val="00F7648C"/>
    <w:rsid w:val="00F82837"/>
    <w:rsid w:val="00F9010D"/>
    <w:rsid w:val="00F946CF"/>
    <w:rsid w:val="00FA56BD"/>
    <w:rsid w:val="00FA6C59"/>
    <w:rsid w:val="00FB2514"/>
    <w:rsid w:val="00FC4E14"/>
    <w:rsid w:val="00FC60C8"/>
    <w:rsid w:val="00FD2F20"/>
    <w:rsid w:val="00FD6147"/>
    <w:rsid w:val="00FE4805"/>
    <w:rsid w:val="00FE4EB3"/>
    <w:rsid w:val="00FF1F0B"/>
    <w:rsid w:val="00FF1FE2"/>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32B68CE"/>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7A6BF8"/>
    <w:rsid w:val="10821871"/>
    <w:rsid w:val="10C74A23"/>
    <w:rsid w:val="10CC1DBF"/>
    <w:rsid w:val="11211A6D"/>
    <w:rsid w:val="11386251"/>
    <w:rsid w:val="114802A7"/>
    <w:rsid w:val="115D2A58"/>
    <w:rsid w:val="11DF34F2"/>
    <w:rsid w:val="11FC2705"/>
    <w:rsid w:val="124E24A7"/>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695889"/>
    <w:rsid w:val="25E3191A"/>
    <w:rsid w:val="272A36B9"/>
    <w:rsid w:val="27574CC5"/>
    <w:rsid w:val="27A45BFA"/>
    <w:rsid w:val="29477193"/>
    <w:rsid w:val="298E65D5"/>
    <w:rsid w:val="29E737F5"/>
    <w:rsid w:val="2A10603F"/>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660F07"/>
    <w:rsid w:val="37813FA2"/>
    <w:rsid w:val="37CC3856"/>
    <w:rsid w:val="38A67E7F"/>
    <w:rsid w:val="38B41477"/>
    <w:rsid w:val="38E24814"/>
    <w:rsid w:val="38F35773"/>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557354"/>
    <w:rsid w:val="3FF35B5D"/>
    <w:rsid w:val="400E6C2F"/>
    <w:rsid w:val="405F451F"/>
    <w:rsid w:val="408D4D2E"/>
    <w:rsid w:val="410B54F1"/>
    <w:rsid w:val="41596324"/>
    <w:rsid w:val="416D454C"/>
    <w:rsid w:val="417E0DD4"/>
    <w:rsid w:val="41AE29E7"/>
    <w:rsid w:val="42322034"/>
    <w:rsid w:val="42744C1D"/>
    <w:rsid w:val="42812D02"/>
    <w:rsid w:val="42A50744"/>
    <w:rsid w:val="432A4F1F"/>
    <w:rsid w:val="435161F1"/>
    <w:rsid w:val="437309A1"/>
    <w:rsid w:val="438B45CD"/>
    <w:rsid w:val="43C03588"/>
    <w:rsid w:val="43D37467"/>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752BE3"/>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CE17CD6"/>
    <w:rsid w:val="4D55021E"/>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B167F8"/>
    <w:rsid w:val="54CC5929"/>
    <w:rsid w:val="54D66B86"/>
    <w:rsid w:val="54F91B6A"/>
    <w:rsid w:val="554161C7"/>
    <w:rsid w:val="55615595"/>
    <w:rsid w:val="55623E6D"/>
    <w:rsid w:val="556971D5"/>
    <w:rsid w:val="558D29EF"/>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4BF1D33"/>
    <w:rsid w:val="65AB285B"/>
    <w:rsid w:val="65AD7EBD"/>
    <w:rsid w:val="65B45F4F"/>
    <w:rsid w:val="65D442F6"/>
    <w:rsid w:val="65EE1B68"/>
    <w:rsid w:val="664A47B6"/>
    <w:rsid w:val="66701D77"/>
    <w:rsid w:val="669A4C09"/>
    <w:rsid w:val="66D67A5D"/>
    <w:rsid w:val="66EE6546"/>
    <w:rsid w:val="67074E48"/>
    <w:rsid w:val="67246F89"/>
    <w:rsid w:val="67630127"/>
    <w:rsid w:val="67837630"/>
    <w:rsid w:val="683D3BEC"/>
    <w:rsid w:val="68417139"/>
    <w:rsid w:val="684347AC"/>
    <w:rsid w:val="68B250DF"/>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8D1ED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C961F9"/>
    <w:rsid w:val="76FC583F"/>
    <w:rsid w:val="77373EC1"/>
    <w:rsid w:val="776C01B3"/>
    <w:rsid w:val="77C030C2"/>
    <w:rsid w:val="77EC59C1"/>
    <w:rsid w:val="781E7E5B"/>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qFormat/>
    <w:uiPriority w:val="0"/>
    <w:pPr>
      <w:keepNext/>
      <w:topLinePunct/>
      <w:ind w:left="360"/>
      <w:outlineLvl w:val="0"/>
    </w:pPr>
    <w:rPr>
      <w:sz w:val="28"/>
    </w:rPr>
  </w:style>
  <w:style w:type="paragraph" w:styleId="3">
    <w:name w:val="heading 2"/>
    <w:basedOn w:val="1"/>
    <w:next w:val="4"/>
    <w:link w:val="70"/>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71"/>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6">
    <w:name w:val="heading 4"/>
    <w:basedOn w:val="1"/>
    <w:next w:val="1"/>
    <w:link w:val="72"/>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7">
    <w:name w:val="heading 5"/>
    <w:basedOn w:val="1"/>
    <w:next w:val="1"/>
    <w:link w:val="73"/>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8">
    <w:name w:val="heading 6"/>
    <w:basedOn w:val="1"/>
    <w:next w:val="1"/>
    <w:link w:val="74"/>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75"/>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10">
    <w:name w:val="heading 8"/>
    <w:basedOn w:val="1"/>
    <w:next w:val="1"/>
    <w:link w:val="76"/>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7"/>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customStyle="1" w:styleId="4">
    <w:name w:val="01 正文"/>
    <w:basedOn w:val="1"/>
    <w:qFormat/>
    <w:uiPriority w:val="0"/>
  </w:style>
  <w:style w:type="paragraph" w:styleId="12">
    <w:name w:val="List 3"/>
    <w:basedOn w:val="1"/>
    <w:qFormat/>
    <w:uiPriority w:val="0"/>
    <w:pPr>
      <w:ind w:left="1260" w:hanging="420"/>
    </w:pPr>
    <w:rPr>
      <w:kern w:val="0"/>
      <w:position w:val="-6"/>
      <w:sz w:val="24"/>
    </w:rPr>
  </w:style>
  <w:style w:type="paragraph" w:styleId="13">
    <w:name w:val="toc 7"/>
    <w:basedOn w:val="1"/>
    <w:next w:val="1"/>
    <w:qFormat/>
    <w:uiPriority w:val="0"/>
    <w:pPr>
      <w:ind w:left="2520" w:leftChars="1200"/>
    </w:pPr>
    <w:rPr>
      <w:szCs w:val="24"/>
    </w:rPr>
  </w:style>
  <w:style w:type="paragraph" w:styleId="14">
    <w:name w:val="List Number 2"/>
    <w:basedOn w:val="15"/>
    <w:qFormat/>
    <w:uiPriority w:val="0"/>
    <w:pPr>
      <w:ind w:left="720" w:hanging="720"/>
    </w:pPr>
  </w:style>
  <w:style w:type="paragraph" w:styleId="15">
    <w:name w:val="List Number"/>
    <w:basedOn w:val="16"/>
    <w:qFormat/>
    <w:uiPriority w:val="0"/>
    <w:pPr>
      <w:spacing w:after="220" w:line="220" w:lineRule="atLeast"/>
      <w:ind w:left="1800" w:right="720" w:hanging="360"/>
    </w:pPr>
    <w:rPr>
      <w:spacing w:val="-4"/>
    </w:rPr>
  </w:style>
  <w:style w:type="paragraph" w:styleId="16">
    <w:name w:val="List"/>
    <w:basedOn w:val="1"/>
    <w:qFormat/>
    <w:uiPriority w:val="0"/>
    <w:pPr>
      <w:ind w:left="420" w:hanging="420"/>
    </w:pPr>
    <w:rPr>
      <w:szCs w:val="24"/>
    </w:rPr>
  </w:style>
  <w:style w:type="paragraph" w:styleId="17">
    <w:name w:val="List Bullet 4"/>
    <w:basedOn w:val="1"/>
    <w:qFormat/>
    <w:uiPriority w:val="0"/>
    <w:pPr>
      <w:tabs>
        <w:tab w:val="left" w:pos="1620"/>
      </w:tabs>
      <w:ind w:left="420" w:hanging="420"/>
    </w:pPr>
    <w:rPr>
      <w:szCs w:val="24"/>
    </w:rPr>
  </w:style>
  <w:style w:type="paragraph" w:styleId="18">
    <w:name w:val="Normal Indent"/>
    <w:basedOn w:val="1"/>
    <w:link w:val="84"/>
    <w:qFormat/>
    <w:uiPriority w:val="0"/>
    <w:pPr>
      <w:adjustRightInd w:val="0"/>
      <w:spacing w:line="312" w:lineRule="atLeast"/>
      <w:ind w:firstLine="420"/>
      <w:textAlignment w:val="baseline"/>
    </w:pPr>
    <w:rPr>
      <w:rFonts w:ascii="@楷体" w:hAnsi="Symbol" w:eastAsia="楷体"/>
      <w:kern w:val="28"/>
      <w:sz w:val="15"/>
    </w:rPr>
  </w:style>
  <w:style w:type="paragraph" w:styleId="19">
    <w:name w:val="caption"/>
    <w:basedOn w:val="1"/>
    <w:next w:val="1"/>
    <w:qFormat/>
    <w:uiPriority w:val="0"/>
    <w:rPr>
      <w:rFonts w:ascii="Arial" w:hAnsi="Arial" w:eastAsia="黑体" w:cs="Arial"/>
      <w:kern w:val="0"/>
      <w:position w:val="-6"/>
      <w:sz w:val="20"/>
    </w:rPr>
  </w:style>
  <w:style w:type="paragraph" w:styleId="20">
    <w:name w:val="List Bullet"/>
    <w:basedOn w:val="1"/>
    <w:semiHidden/>
    <w:unhideWhenUsed/>
    <w:uiPriority w:val="99"/>
    <w:pPr>
      <w:numPr>
        <w:ilvl w:val="0"/>
        <w:numId w:val="2"/>
      </w:numPr>
    </w:pPr>
  </w:style>
  <w:style w:type="paragraph" w:styleId="21">
    <w:name w:val="Document Map"/>
    <w:basedOn w:val="1"/>
    <w:link w:val="92"/>
    <w:qFormat/>
    <w:uiPriority w:val="0"/>
    <w:rPr>
      <w:rFonts w:ascii="宋体"/>
      <w:sz w:val="18"/>
      <w:szCs w:val="18"/>
    </w:rPr>
  </w:style>
  <w:style w:type="paragraph" w:styleId="22">
    <w:name w:val="toa heading"/>
    <w:basedOn w:val="1"/>
    <w:next w:val="1"/>
    <w:qFormat/>
    <w:uiPriority w:val="0"/>
    <w:pPr>
      <w:adjustRightInd w:val="0"/>
      <w:spacing w:before="120" w:line="398" w:lineRule="atLeast"/>
      <w:textAlignment w:val="baseline"/>
    </w:pPr>
    <w:rPr>
      <w:rFonts w:ascii="Arial" w:hAnsi="Arial"/>
      <w:kern w:val="0"/>
      <w:sz w:val="24"/>
    </w:rPr>
  </w:style>
  <w:style w:type="paragraph" w:styleId="23">
    <w:name w:val="annotation text"/>
    <w:basedOn w:val="1"/>
    <w:link w:val="94"/>
    <w:qFormat/>
    <w:uiPriority w:val="0"/>
    <w:pPr>
      <w:jc w:val="left"/>
    </w:pPr>
  </w:style>
  <w:style w:type="paragraph" w:styleId="24">
    <w:name w:val="Body Text 3"/>
    <w:basedOn w:val="1"/>
    <w:link w:val="205"/>
    <w:qFormat/>
    <w:uiPriority w:val="0"/>
    <w:pPr>
      <w:spacing w:after="120"/>
    </w:pPr>
    <w:rPr>
      <w:sz w:val="16"/>
      <w:szCs w:val="16"/>
    </w:rPr>
  </w:style>
  <w:style w:type="paragraph" w:styleId="25">
    <w:name w:val="List Bullet 3"/>
    <w:basedOn w:val="1"/>
    <w:qFormat/>
    <w:uiPriority w:val="0"/>
    <w:pPr>
      <w:tabs>
        <w:tab w:val="left" w:pos="1200"/>
      </w:tabs>
      <w:ind w:left="420" w:hanging="420"/>
    </w:pPr>
    <w:rPr>
      <w:szCs w:val="24"/>
    </w:rPr>
  </w:style>
  <w:style w:type="paragraph" w:styleId="26">
    <w:name w:val="Body Text"/>
    <w:basedOn w:val="1"/>
    <w:next w:val="27"/>
    <w:link w:val="87"/>
    <w:qFormat/>
    <w:uiPriority w:val="0"/>
    <w:rPr>
      <w:rFonts w:ascii="宋体" w:hAnsi="宋体"/>
      <w:color w:val="0000FF"/>
      <w:sz w:val="24"/>
      <w:szCs w:val="24"/>
    </w:rPr>
  </w:style>
  <w:style w:type="paragraph" w:customStyle="1" w:styleId="27">
    <w:name w:val="1 Char Char Char1 Char"/>
    <w:basedOn w:val="1"/>
    <w:qFormat/>
    <w:uiPriority w:val="0"/>
    <w:rPr>
      <w:rFonts w:ascii="Tahoma" w:hAnsi="Tahoma"/>
      <w:sz w:val="24"/>
      <w:szCs w:val="20"/>
    </w:rPr>
  </w:style>
  <w:style w:type="paragraph" w:styleId="28">
    <w:name w:val="Body Text Indent"/>
    <w:basedOn w:val="1"/>
    <w:link w:val="95"/>
    <w:qFormat/>
    <w:uiPriority w:val="0"/>
    <w:pPr>
      <w:spacing w:after="120"/>
      <w:ind w:left="420" w:leftChars="200"/>
    </w:pPr>
    <w:rPr>
      <w:szCs w:val="24"/>
    </w:rPr>
  </w:style>
  <w:style w:type="paragraph" w:styleId="29">
    <w:name w:val="List Bullet 2"/>
    <w:basedOn w:val="1"/>
    <w:qFormat/>
    <w:uiPriority w:val="0"/>
    <w:pPr>
      <w:tabs>
        <w:tab w:val="left" w:pos="780"/>
      </w:tabs>
      <w:ind w:left="420" w:hanging="420"/>
    </w:pPr>
    <w:rPr>
      <w:szCs w:val="24"/>
    </w:rPr>
  </w:style>
  <w:style w:type="paragraph" w:styleId="30">
    <w:name w:val="toc 5"/>
    <w:basedOn w:val="1"/>
    <w:next w:val="1"/>
    <w:qFormat/>
    <w:uiPriority w:val="0"/>
    <w:pPr>
      <w:ind w:left="1680" w:leftChars="800"/>
    </w:pPr>
    <w:rPr>
      <w:szCs w:val="24"/>
    </w:rPr>
  </w:style>
  <w:style w:type="paragraph" w:styleId="31">
    <w:name w:val="toc 3"/>
    <w:basedOn w:val="1"/>
    <w:next w:val="1"/>
    <w:qFormat/>
    <w:uiPriority w:val="0"/>
    <w:pPr>
      <w:ind w:left="840" w:leftChars="400"/>
    </w:pPr>
    <w:rPr>
      <w:szCs w:val="24"/>
    </w:rPr>
  </w:style>
  <w:style w:type="paragraph" w:styleId="32">
    <w:name w:val="Plain Text"/>
    <w:basedOn w:val="1"/>
    <w:next w:val="33"/>
    <w:link w:val="78"/>
    <w:unhideWhenUsed/>
    <w:qFormat/>
    <w:uiPriority w:val="0"/>
    <w:rPr>
      <w:rFonts w:ascii="宋体" w:hAnsi="Courier New"/>
    </w:rPr>
  </w:style>
  <w:style w:type="paragraph" w:styleId="33">
    <w:name w:val="List Number 5"/>
    <w:basedOn w:val="1"/>
    <w:semiHidden/>
    <w:unhideWhenUsed/>
    <w:qFormat/>
    <w:uiPriority w:val="99"/>
    <w:pPr>
      <w:numPr>
        <w:ilvl w:val="0"/>
        <w:numId w:val="3"/>
      </w:numPr>
    </w:pPr>
  </w:style>
  <w:style w:type="paragraph" w:styleId="34">
    <w:name w:val="toc 8"/>
    <w:basedOn w:val="1"/>
    <w:next w:val="1"/>
    <w:qFormat/>
    <w:uiPriority w:val="0"/>
    <w:pPr>
      <w:ind w:left="2940" w:leftChars="1400"/>
    </w:pPr>
    <w:rPr>
      <w:szCs w:val="24"/>
    </w:rPr>
  </w:style>
  <w:style w:type="paragraph" w:styleId="35">
    <w:name w:val="Date"/>
    <w:basedOn w:val="1"/>
    <w:next w:val="1"/>
    <w:link w:val="97"/>
    <w:qFormat/>
    <w:uiPriority w:val="0"/>
  </w:style>
  <w:style w:type="paragraph" w:styleId="36">
    <w:name w:val="Body Text Indent 2"/>
    <w:basedOn w:val="1"/>
    <w:link w:val="98"/>
    <w:qFormat/>
    <w:uiPriority w:val="0"/>
    <w:pPr>
      <w:ind w:firstLine="480" w:firstLineChars="200"/>
    </w:pPr>
    <w:rPr>
      <w:rFonts w:ascii="宋体" w:hAnsi="宋体"/>
      <w:color w:val="FF0000"/>
      <w:sz w:val="24"/>
      <w:szCs w:val="24"/>
    </w:rPr>
  </w:style>
  <w:style w:type="paragraph" w:styleId="37">
    <w:name w:val="endnote text"/>
    <w:basedOn w:val="1"/>
    <w:link w:val="241"/>
    <w:qFormat/>
    <w:uiPriority w:val="0"/>
    <w:pPr>
      <w:adjustRightInd w:val="0"/>
      <w:spacing w:line="360" w:lineRule="atLeast"/>
      <w:jc w:val="left"/>
      <w:textAlignment w:val="baseline"/>
    </w:pPr>
    <w:rPr>
      <w:rFonts w:ascii="宋体"/>
      <w:kern w:val="0"/>
      <w:position w:val="-6"/>
      <w:sz w:val="24"/>
    </w:rPr>
  </w:style>
  <w:style w:type="paragraph" w:styleId="38">
    <w:name w:val="Balloon Text"/>
    <w:basedOn w:val="1"/>
    <w:link w:val="83"/>
    <w:unhideWhenUsed/>
    <w:qFormat/>
    <w:uiPriority w:val="0"/>
    <w:rPr>
      <w:sz w:val="18"/>
      <w:szCs w:val="18"/>
    </w:rPr>
  </w:style>
  <w:style w:type="paragraph" w:styleId="39">
    <w:name w:val="footer"/>
    <w:basedOn w:val="1"/>
    <w:link w:val="79"/>
    <w:qFormat/>
    <w:uiPriority w:val="99"/>
    <w:pPr>
      <w:tabs>
        <w:tab w:val="center" w:pos="4153"/>
        <w:tab w:val="right" w:pos="8306"/>
      </w:tabs>
      <w:snapToGrid w:val="0"/>
      <w:jc w:val="left"/>
    </w:pPr>
    <w:rPr>
      <w:sz w:val="18"/>
    </w:rPr>
  </w:style>
  <w:style w:type="paragraph" w:styleId="40">
    <w:name w:val="header"/>
    <w:basedOn w:val="1"/>
    <w:link w:val="8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1">
    <w:name w:val="toc 1"/>
    <w:basedOn w:val="1"/>
    <w:next w:val="1"/>
    <w:qFormat/>
    <w:uiPriority w:val="0"/>
    <w:rPr>
      <w:szCs w:val="24"/>
    </w:rPr>
  </w:style>
  <w:style w:type="paragraph" w:styleId="42">
    <w:name w:val="toc 4"/>
    <w:basedOn w:val="1"/>
    <w:next w:val="1"/>
    <w:qFormat/>
    <w:uiPriority w:val="0"/>
    <w:pPr>
      <w:ind w:left="1260" w:leftChars="600"/>
    </w:pPr>
    <w:rPr>
      <w:szCs w:val="24"/>
    </w:rPr>
  </w:style>
  <w:style w:type="paragraph" w:styleId="43">
    <w:name w:val="Subtitle"/>
    <w:basedOn w:val="1"/>
    <w:link w:val="129"/>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44">
    <w:name w:val="toc 6"/>
    <w:basedOn w:val="1"/>
    <w:next w:val="1"/>
    <w:qFormat/>
    <w:uiPriority w:val="0"/>
    <w:pPr>
      <w:ind w:left="2100" w:leftChars="1000"/>
    </w:pPr>
    <w:rPr>
      <w:szCs w:val="24"/>
    </w:rPr>
  </w:style>
  <w:style w:type="paragraph" w:styleId="45">
    <w:name w:val="List 5"/>
    <w:basedOn w:val="1"/>
    <w:qFormat/>
    <w:uiPriority w:val="0"/>
    <w:pPr>
      <w:ind w:left="2100" w:hanging="420"/>
    </w:pPr>
    <w:rPr>
      <w:kern w:val="0"/>
      <w:position w:val="-6"/>
      <w:sz w:val="24"/>
    </w:rPr>
  </w:style>
  <w:style w:type="paragraph" w:styleId="46">
    <w:name w:val="Body Text Indent 3"/>
    <w:basedOn w:val="1"/>
    <w:link w:val="100"/>
    <w:qFormat/>
    <w:uiPriority w:val="0"/>
    <w:pPr>
      <w:spacing w:line="360" w:lineRule="atLeast"/>
      <w:ind w:left="420" w:firstLine="480"/>
    </w:pPr>
    <w:rPr>
      <w:rFonts w:ascii="宋体"/>
      <w:sz w:val="24"/>
      <w:szCs w:val="24"/>
    </w:rPr>
  </w:style>
  <w:style w:type="paragraph" w:styleId="47">
    <w:name w:val="toc 2"/>
    <w:basedOn w:val="1"/>
    <w:next w:val="1"/>
    <w:qFormat/>
    <w:uiPriority w:val="0"/>
    <w:pPr>
      <w:ind w:left="420" w:leftChars="200"/>
    </w:pPr>
    <w:rPr>
      <w:szCs w:val="24"/>
    </w:rPr>
  </w:style>
  <w:style w:type="paragraph" w:styleId="48">
    <w:name w:val="toc 9"/>
    <w:basedOn w:val="1"/>
    <w:next w:val="1"/>
    <w:qFormat/>
    <w:uiPriority w:val="0"/>
    <w:pPr>
      <w:ind w:left="3360" w:leftChars="1600"/>
    </w:pPr>
    <w:rPr>
      <w:szCs w:val="24"/>
    </w:rPr>
  </w:style>
  <w:style w:type="paragraph" w:styleId="49">
    <w:name w:val="Body Text 2"/>
    <w:basedOn w:val="1"/>
    <w:link w:val="101"/>
    <w:qFormat/>
    <w:uiPriority w:val="0"/>
    <w:rPr>
      <w:rFonts w:ascii="宋体"/>
      <w:b/>
      <w:bCs/>
      <w:color w:val="0000FF"/>
      <w:sz w:val="30"/>
      <w:szCs w:val="24"/>
    </w:rPr>
  </w:style>
  <w:style w:type="paragraph" w:styleId="50">
    <w:name w:val="List 4"/>
    <w:basedOn w:val="1"/>
    <w:qFormat/>
    <w:uiPriority w:val="0"/>
    <w:pPr>
      <w:ind w:left="1680" w:hanging="420"/>
    </w:pPr>
    <w:rPr>
      <w:kern w:val="0"/>
      <w:position w:val="-6"/>
      <w:sz w:val="24"/>
    </w:rPr>
  </w:style>
  <w:style w:type="paragraph" w:styleId="51">
    <w:name w:val="Message Header"/>
    <w:basedOn w:val="26"/>
    <w:link w:val="206"/>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52">
    <w:name w:val="HTML Preformatted"/>
    <w:basedOn w:val="1"/>
    <w:link w:val="10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54">
    <w:name w:val="index 1"/>
    <w:basedOn w:val="1"/>
    <w:next w:val="1"/>
    <w:qFormat/>
    <w:uiPriority w:val="0"/>
    <w:pPr>
      <w:adjustRightInd w:val="0"/>
      <w:spacing w:line="360" w:lineRule="atLeast"/>
      <w:jc w:val="left"/>
      <w:textAlignment w:val="baseline"/>
    </w:pPr>
    <w:rPr>
      <w:kern w:val="0"/>
      <w:sz w:val="24"/>
    </w:rPr>
  </w:style>
  <w:style w:type="paragraph" w:styleId="55">
    <w:name w:val="index 2"/>
    <w:basedOn w:val="1"/>
    <w:next w:val="1"/>
    <w:qFormat/>
    <w:uiPriority w:val="0"/>
    <w:pPr>
      <w:ind w:left="200" w:leftChars="200"/>
    </w:pPr>
    <w:rPr>
      <w:kern w:val="0"/>
      <w:position w:val="-6"/>
      <w:sz w:val="24"/>
    </w:rPr>
  </w:style>
  <w:style w:type="paragraph" w:styleId="56">
    <w:name w:val="Title"/>
    <w:basedOn w:val="1"/>
    <w:next w:val="1"/>
    <w:link w:val="81"/>
    <w:qFormat/>
    <w:uiPriority w:val="0"/>
    <w:pPr>
      <w:adjustRightInd w:val="0"/>
      <w:snapToGrid w:val="0"/>
      <w:spacing w:before="120" w:after="120" w:line="520" w:lineRule="exact"/>
      <w:jc w:val="center"/>
      <w:outlineLvl w:val="0"/>
    </w:pPr>
    <w:rPr>
      <w:rFonts w:ascii="黑体" w:eastAsia="黑体"/>
      <w:snapToGrid w:val="0"/>
      <w:sz w:val="28"/>
    </w:rPr>
  </w:style>
  <w:style w:type="paragraph" w:styleId="57">
    <w:name w:val="annotation subject"/>
    <w:basedOn w:val="23"/>
    <w:next w:val="23"/>
    <w:link w:val="104"/>
    <w:semiHidden/>
    <w:qFormat/>
    <w:uiPriority w:val="0"/>
    <w:rPr>
      <w:b/>
      <w:bCs/>
      <w:szCs w:val="24"/>
    </w:rPr>
  </w:style>
  <w:style w:type="paragraph" w:styleId="58">
    <w:name w:val="Body Text First Indent"/>
    <w:basedOn w:val="26"/>
    <w:link w:val="147"/>
    <w:qFormat/>
    <w:uiPriority w:val="0"/>
    <w:pPr>
      <w:spacing w:after="120"/>
      <w:ind w:firstLine="420" w:firstLineChars="100"/>
    </w:pPr>
    <w:rPr>
      <w:rFonts w:hAnsi="Times New Roman"/>
      <w:color w:val="auto"/>
      <w:szCs w:val="20"/>
    </w:rPr>
  </w:style>
  <w:style w:type="paragraph" w:styleId="59">
    <w:name w:val="Body Text First Indent 2"/>
    <w:basedOn w:val="28"/>
    <w:link w:val="242"/>
    <w:qFormat/>
    <w:uiPriority w:val="0"/>
    <w:pPr>
      <w:adjustRightInd w:val="0"/>
      <w:spacing w:after="0" w:line="360" w:lineRule="auto"/>
      <w:ind w:left="0" w:leftChars="0" w:firstLine="420" w:firstLineChars="200"/>
      <w:textAlignment w:val="baseline"/>
    </w:pPr>
    <w:rPr>
      <w:kern w:val="0"/>
      <w:position w:val="-6"/>
      <w:sz w:val="24"/>
      <w:szCs w:val="20"/>
    </w:rPr>
  </w:style>
  <w:style w:type="table" w:styleId="61">
    <w:name w:val="Table Grid"/>
    <w:basedOn w:val="6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bCs/>
    </w:rPr>
  </w:style>
  <w:style w:type="character" w:styleId="64">
    <w:name w:val="page number"/>
    <w:basedOn w:val="62"/>
    <w:unhideWhenUsed/>
    <w:qFormat/>
    <w:uiPriority w:val="0"/>
    <w:rPr>
      <w:kern w:val="2"/>
      <w:sz w:val="21"/>
      <w:szCs w:val="21"/>
    </w:rPr>
  </w:style>
  <w:style w:type="character" w:styleId="65">
    <w:name w:val="FollowedHyperlink"/>
    <w:qFormat/>
    <w:uiPriority w:val="0"/>
    <w:rPr>
      <w:color w:val="800080"/>
      <w:u w:val="single"/>
    </w:rPr>
  </w:style>
  <w:style w:type="character" w:styleId="66">
    <w:name w:val="Hyperlink"/>
    <w:basedOn w:val="62"/>
    <w:unhideWhenUsed/>
    <w:qFormat/>
    <w:uiPriority w:val="0"/>
    <w:rPr>
      <w:color w:val="0563C1" w:themeColor="hyperlink"/>
      <w:u w:val="single"/>
      <w14:textFill>
        <w14:solidFill>
          <w14:schemeClr w14:val="hlink"/>
        </w14:solidFill>
      </w14:textFill>
    </w:rPr>
  </w:style>
  <w:style w:type="character" w:styleId="67">
    <w:name w:val="annotation reference"/>
    <w:qFormat/>
    <w:uiPriority w:val="0"/>
    <w:rPr>
      <w:sz w:val="21"/>
      <w:szCs w:val="21"/>
    </w:rPr>
  </w:style>
  <w:style w:type="paragraph" w:customStyle="1" w:styleId="68">
    <w:name w:val="正文(首行缩进)"/>
    <w:basedOn w:val="1"/>
    <w:qFormat/>
    <w:uiPriority w:val="0"/>
    <w:pPr>
      <w:spacing w:line="360" w:lineRule="auto"/>
      <w:ind w:firstLine="510"/>
    </w:pPr>
    <w:rPr>
      <w:rFonts w:ascii="宋体" w:hAnsi="宋体"/>
      <w:snapToGrid/>
      <w:kern w:val="0"/>
      <w:sz w:val="24"/>
      <w:szCs w:val="24"/>
    </w:rPr>
  </w:style>
  <w:style w:type="character" w:customStyle="1" w:styleId="69">
    <w:name w:val="标题 1 字符"/>
    <w:basedOn w:val="62"/>
    <w:link w:val="2"/>
    <w:qFormat/>
    <w:uiPriority w:val="0"/>
    <w:rPr>
      <w:kern w:val="2"/>
      <w:sz w:val="28"/>
    </w:rPr>
  </w:style>
  <w:style w:type="character" w:customStyle="1" w:styleId="70">
    <w:name w:val="标题 2 字符"/>
    <w:basedOn w:val="62"/>
    <w:link w:val="3"/>
    <w:qFormat/>
    <w:uiPriority w:val="0"/>
    <w:rPr>
      <w:rFonts w:ascii="Arial" w:hAnsi="Arial" w:eastAsia="黑体"/>
      <w:b/>
      <w:sz w:val="32"/>
    </w:rPr>
  </w:style>
  <w:style w:type="character" w:customStyle="1" w:styleId="71">
    <w:name w:val="标题 3 字符"/>
    <w:basedOn w:val="62"/>
    <w:link w:val="5"/>
    <w:qFormat/>
    <w:uiPriority w:val="0"/>
    <w:rPr>
      <w:b/>
      <w:sz w:val="32"/>
    </w:rPr>
  </w:style>
  <w:style w:type="character" w:customStyle="1" w:styleId="72">
    <w:name w:val="标题 4 字符"/>
    <w:basedOn w:val="62"/>
    <w:link w:val="6"/>
    <w:qFormat/>
    <w:uiPriority w:val="0"/>
    <w:rPr>
      <w:rFonts w:ascii="Arial" w:hAnsi="Arial" w:eastAsia="黑体"/>
      <w:b/>
      <w:sz w:val="28"/>
    </w:rPr>
  </w:style>
  <w:style w:type="character" w:customStyle="1" w:styleId="73">
    <w:name w:val="标题 5 字符"/>
    <w:basedOn w:val="62"/>
    <w:link w:val="7"/>
    <w:qFormat/>
    <w:uiPriority w:val="0"/>
    <w:rPr>
      <w:b/>
      <w:sz w:val="28"/>
    </w:rPr>
  </w:style>
  <w:style w:type="character" w:customStyle="1" w:styleId="74">
    <w:name w:val="标题 6 字符"/>
    <w:basedOn w:val="62"/>
    <w:link w:val="8"/>
    <w:qFormat/>
    <w:uiPriority w:val="0"/>
    <w:rPr>
      <w:rFonts w:ascii="Arial" w:hAnsi="Arial" w:eastAsia="黑体"/>
      <w:b/>
      <w:sz w:val="24"/>
    </w:rPr>
  </w:style>
  <w:style w:type="character" w:customStyle="1" w:styleId="75">
    <w:name w:val="标题 7 字符"/>
    <w:basedOn w:val="62"/>
    <w:link w:val="9"/>
    <w:qFormat/>
    <w:uiPriority w:val="0"/>
    <w:rPr>
      <w:b/>
      <w:sz w:val="24"/>
    </w:rPr>
  </w:style>
  <w:style w:type="character" w:customStyle="1" w:styleId="76">
    <w:name w:val="标题 8 字符"/>
    <w:basedOn w:val="62"/>
    <w:link w:val="10"/>
    <w:qFormat/>
    <w:uiPriority w:val="0"/>
    <w:rPr>
      <w:rFonts w:ascii="Arial" w:hAnsi="Arial" w:eastAsia="黑体"/>
      <w:sz w:val="24"/>
    </w:rPr>
  </w:style>
  <w:style w:type="character" w:customStyle="1" w:styleId="77">
    <w:name w:val="标题 9 字符"/>
    <w:basedOn w:val="62"/>
    <w:link w:val="11"/>
    <w:qFormat/>
    <w:uiPriority w:val="0"/>
    <w:rPr>
      <w:rFonts w:ascii="Arial" w:hAnsi="Arial" w:eastAsia="黑体"/>
      <w:sz w:val="24"/>
    </w:rPr>
  </w:style>
  <w:style w:type="character" w:customStyle="1" w:styleId="78">
    <w:name w:val="纯文本 字符"/>
    <w:link w:val="32"/>
    <w:qFormat/>
    <w:uiPriority w:val="0"/>
    <w:rPr>
      <w:rFonts w:ascii="宋体" w:hAnsi="Courier New"/>
      <w:kern w:val="2"/>
      <w:sz w:val="21"/>
    </w:rPr>
  </w:style>
  <w:style w:type="character" w:customStyle="1" w:styleId="79">
    <w:name w:val="页脚 字符"/>
    <w:basedOn w:val="62"/>
    <w:link w:val="39"/>
    <w:qFormat/>
    <w:uiPriority w:val="99"/>
    <w:rPr>
      <w:kern w:val="2"/>
      <w:sz w:val="18"/>
    </w:rPr>
  </w:style>
  <w:style w:type="character" w:customStyle="1" w:styleId="80">
    <w:name w:val="页眉 字符"/>
    <w:link w:val="40"/>
    <w:qFormat/>
    <w:uiPriority w:val="0"/>
    <w:rPr>
      <w:kern w:val="2"/>
      <w:sz w:val="18"/>
    </w:rPr>
  </w:style>
  <w:style w:type="character" w:customStyle="1" w:styleId="81">
    <w:name w:val="标题 字符"/>
    <w:link w:val="56"/>
    <w:qFormat/>
    <w:uiPriority w:val="0"/>
    <w:rPr>
      <w:rFonts w:ascii="黑体" w:eastAsia="黑体"/>
      <w:snapToGrid w:val="0"/>
      <w:kern w:val="2"/>
      <w:sz w:val="28"/>
    </w:rPr>
  </w:style>
  <w:style w:type="paragraph" w:customStyle="1" w:styleId="82">
    <w:name w:val="Char Char Char1 Char Char Char Char"/>
    <w:basedOn w:val="1"/>
    <w:qFormat/>
    <w:uiPriority w:val="0"/>
    <w:rPr>
      <w:szCs w:val="21"/>
    </w:rPr>
  </w:style>
  <w:style w:type="character" w:customStyle="1" w:styleId="83">
    <w:name w:val="批注框文本 字符"/>
    <w:basedOn w:val="62"/>
    <w:link w:val="38"/>
    <w:qFormat/>
    <w:uiPriority w:val="0"/>
    <w:rPr>
      <w:kern w:val="2"/>
      <w:sz w:val="18"/>
      <w:szCs w:val="18"/>
    </w:rPr>
  </w:style>
  <w:style w:type="character" w:customStyle="1" w:styleId="84">
    <w:name w:val="正文缩进 字符"/>
    <w:link w:val="18"/>
    <w:qFormat/>
    <w:uiPriority w:val="0"/>
    <w:rPr>
      <w:rFonts w:ascii="@楷体" w:hAnsi="Symbol" w:eastAsia="楷体"/>
      <w:kern w:val="28"/>
      <w:sz w:val="15"/>
    </w:rPr>
  </w:style>
  <w:style w:type="paragraph" w:customStyle="1" w:styleId="85">
    <w:name w:val="列出段落1"/>
    <w:basedOn w:val="1"/>
    <w:link w:val="86"/>
    <w:qFormat/>
    <w:uiPriority w:val="34"/>
    <w:pPr>
      <w:ind w:firstLine="420" w:firstLineChars="200"/>
    </w:pPr>
    <w:rPr>
      <w:rFonts w:ascii="Calibri" w:hAnsi="Calibri" w:cs="Calibri"/>
      <w:szCs w:val="21"/>
    </w:rPr>
  </w:style>
  <w:style w:type="character" w:customStyle="1" w:styleId="86">
    <w:name w:val="列出段落 Char"/>
    <w:link w:val="85"/>
    <w:qFormat/>
    <w:uiPriority w:val="34"/>
    <w:rPr>
      <w:rFonts w:ascii="Calibri" w:hAnsi="Calibri" w:cs="Calibri"/>
      <w:kern w:val="2"/>
      <w:sz w:val="21"/>
      <w:szCs w:val="21"/>
    </w:rPr>
  </w:style>
  <w:style w:type="character" w:customStyle="1" w:styleId="87">
    <w:name w:val="正文文本 字符"/>
    <w:basedOn w:val="62"/>
    <w:link w:val="26"/>
    <w:qFormat/>
    <w:uiPriority w:val="0"/>
    <w:rPr>
      <w:rFonts w:ascii="宋体" w:hAnsi="宋体"/>
      <w:color w:val="0000FF"/>
      <w:kern w:val="2"/>
      <w:sz w:val="24"/>
      <w:szCs w:val="24"/>
    </w:rPr>
  </w:style>
  <w:style w:type="paragraph" w:styleId="88">
    <w:name w:val="List Paragraph"/>
    <w:basedOn w:val="1"/>
    <w:qFormat/>
    <w:uiPriority w:val="34"/>
    <w:pPr>
      <w:ind w:firstLine="420" w:firstLineChars="200"/>
    </w:pPr>
  </w:style>
  <w:style w:type="table" w:customStyle="1" w:styleId="89">
    <w:name w:val="网格型1"/>
    <w:basedOn w:val="6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正文缩进 Char"/>
    <w:link w:val="91"/>
    <w:qFormat/>
    <w:uiPriority w:val="0"/>
    <w:rPr>
      <w:rFonts w:ascii="@楷体" w:hAnsi="Symbol" w:eastAsia="楷体"/>
      <w:kern w:val="28"/>
      <w:sz w:val="15"/>
      <w:lang w:val="en-US" w:eastAsia="zh-CN" w:bidi="ar-SA"/>
    </w:rPr>
  </w:style>
  <w:style w:type="paragraph" w:customStyle="1" w:styleId="91">
    <w:name w:val="标题4"/>
    <w:basedOn w:val="6"/>
    <w:link w:val="90"/>
    <w:qFormat/>
    <w:uiPriority w:val="0"/>
    <w:pPr>
      <w:keepLines w:val="0"/>
      <w:numPr>
        <w:numId w:val="4"/>
      </w:numPr>
      <w:tabs>
        <w:tab w:val="left" w:pos="720"/>
        <w:tab w:val="left" w:pos="3011"/>
      </w:tabs>
      <w:spacing w:before="0" w:after="0" w:line="360" w:lineRule="auto"/>
      <w:jc w:val="both"/>
    </w:pPr>
    <w:rPr>
      <w:rFonts w:ascii="@楷体" w:hAnsi="Symbol" w:eastAsia="楷体"/>
      <w:b w:val="0"/>
      <w:kern w:val="28"/>
      <w:sz w:val="15"/>
    </w:rPr>
  </w:style>
  <w:style w:type="character" w:customStyle="1" w:styleId="92">
    <w:name w:val="文档结构图 字符1"/>
    <w:link w:val="21"/>
    <w:qFormat/>
    <w:uiPriority w:val="0"/>
    <w:rPr>
      <w:rFonts w:ascii="宋体"/>
      <w:kern w:val="2"/>
      <w:sz w:val="18"/>
      <w:szCs w:val="18"/>
    </w:rPr>
  </w:style>
  <w:style w:type="character" w:customStyle="1" w:styleId="93">
    <w:name w:val="文档结构图 字符"/>
    <w:basedOn w:val="62"/>
    <w:qFormat/>
    <w:uiPriority w:val="0"/>
    <w:rPr>
      <w:rFonts w:ascii="Microsoft YaHei UI" w:eastAsia="Microsoft YaHei UI"/>
      <w:kern w:val="2"/>
      <w:sz w:val="18"/>
      <w:szCs w:val="18"/>
    </w:rPr>
  </w:style>
  <w:style w:type="character" w:customStyle="1" w:styleId="94">
    <w:name w:val="批注文字 字符"/>
    <w:basedOn w:val="62"/>
    <w:link w:val="23"/>
    <w:qFormat/>
    <w:uiPriority w:val="0"/>
    <w:rPr>
      <w:kern w:val="2"/>
      <w:sz w:val="21"/>
    </w:rPr>
  </w:style>
  <w:style w:type="character" w:customStyle="1" w:styleId="95">
    <w:name w:val="正文文本缩进 字符"/>
    <w:basedOn w:val="62"/>
    <w:link w:val="28"/>
    <w:qFormat/>
    <w:uiPriority w:val="0"/>
    <w:rPr>
      <w:kern w:val="2"/>
      <w:sz w:val="21"/>
      <w:szCs w:val="24"/>
    </w:rPr>
  </w:style>
  <w:style w:type="character" w:customStyle="1" w:styleId="96">
    <w:name w:val="纯文本 Char"/>
    <w:qFormat/>
    <w:uiPriority w:val="0"/>
    <w:rPr>
      <w:rFonts w:ascii="宋体" w:hAnsi="Courier New"/>
      <w:kern w:val="2"/>
      <w:sz w:val="21"/>
    </w:rPr>
  </w:style>
  <w:style w:type="character" w:customStyle="1" w:styleId="97">
    <w:name w:val="日期 字符"/>
    <w:basedOn w:val="62"/>
    <w:link w:val="35"/>
    <w:qFormat/>
    <w:uiPriority w:val="0"/>
    <w:rPr>
      <w:kern w:val="2"/>
      <w:sz w:val="21"/>
    </w:rPr>
  </w:style>
  <w:style w:type="character" w:customStyle="1" w:styleId="98">
    <w:name w:val="正文文本缩进 2 字符"/>
    <w:basedOn w:val="62"/>
    <w:link w:val="36"/>
    <w:qFormat/>
    <w:uiPriority w:val="0"/>
    <w:rPr>
      <w:rFonts w:ascii="宋体" w:hAnsi="宋体"/>
      <w:color w:val="FF0000"/>
      <w:kern w:val="2"/>
      <w:sz w:val="24"/>
      <w:szCs w:val="24"/>
    </w:rPr>
  </w:style>
  <w:style w:type="character" w:customStyle="1" w:styleId="99">
    <w:name w:val="页脚 Char"/>
    <w:qFormat/>
    <w:uiPriority w:val="0"/>
    <w:rPr>
      <w:kern w:val="2"/>
      <w:sz w:val="18"/>
      <w:szCs w:val="18"/>
      <w:lang w:val="en-US" w:eastAsia="zh-CN"/>
    </w:rPr>
  </w:style>
  <w:style w:type="character" w:customStyle="1" w:styleId="100">
    <w:name w:val="正文文本缩进 3 字符"/>
    <w:basedOn w:val="62"/>
    <w:link w:val="46"/>
    <w:qFormat/>
    <w:uiPriority w:val="0"/>
    <w:rPr>
      <w:rFonts w:ascii="宋体"/>
      <w:kern w:val="2"/>
      <w:sz w:val="24"/>
      <w:szCs w:val="24"/>
    </w:rPr>
  </w:style>
  <w:style w:type="character" w:customStyle="1" w:styleId="101">
    <w:name w:val="正文文本 2 字符"/>
    <w:basedOn w:val="62"/>
    <w:link w:val="49"/>
    <w:qFormat/>
    <w:uiPriority w:val="0"/>
    <w:rPr>
      <w:rFonts w:ascii="宋体"/>
      <w:b/>
      <w:bCs/>
      <w:color w:val="0000FF"/>
      <w:kern w:val="2"/>
      <w:sz w:val="30"/>
      <w:szCs w:val="24"/>
    </w:rPr>
  </w:style>
  <w:style w:type="character" w:customStyle="1" w:styleId="102">
    <w:name w:val="HTML 预设格式 字符1"/>
    <w:link w:val="52"/>
    <w:qFormat/>
    <w:uiPriority w:val="99"/>
    <w:rPr>
      <w:rFonts w:ascii="宋体" w:hAnsi="宋体" w:cs="宋体"/>
      <w:sz w:val="24"/>
      <w:szCs w:val="24"/>
    </w:rPr>
  </w:style>
  <w:style w:type="character" w:customStyle="1" w:styleId="103">
    <w:name w:val="HTML 预设格式 字符"/>
    <w:basedOn w:val="62"/>
    <w:semiHidden/>
    <w:qFormat/>
    <w:uiPriority w:val="99"/>
    <w:rPr>
      <w:rFonts w:ascii="Courier New" w:hAnsi="Courier New" w:cs="Courier New"/>
      <w:kern w:val="2"/>
    </w:rPr>
  </w:style>
  <w:style w:type="character" w:customStyle="1" w:styleId="104">
    <w:name w:val="批注主题 字符"/>
    <w:basedOn w:val="94"/>
    <w:link w:val="57"/>
    <w:semiHidden/>
    <w:qFormat/>
    <w:uiPriority w:val="0"/>
    <w:rPr>
      <w:b/>
      <w:bCs/>
      <w:kern w:val="2"/>
      <w:sz w:val="21"/>
      <w:szCs w:val="24"/>
    </w:rPr>
  </w:style>
  <w:style w:type="character" w:customStyle="1" w:styleId="105">
    <w:name w:val="txt41"/>
    <w:qFormat/>
    <w:uiPriority w:val="0"/>
    <w:rPr>
      <w:b/>
      <w:bCs/>
      <w:color w:val="000000"/>
      <w:sz w:val="29"/>
      <w:szCs w:val="29"/>
    </w:rPr>
  </w:style>
  <w:style w:type="character" w:customStyle="1" w:styleId="106">
    <w:name w:val="样式12 Char"/>
    <w:link w:val="107"/>
    <w:qFormat/>
    <w:locked/>
    <w:uiPriority w:val="0"/>
    <w:rPr>
      <w:kern w:val="2"/>
      <w:sz w:val="24"/>
    </w:rPr>
  </w:style>
  <w:style w:type="paragraph" w:customStyle="1" w:styleId="107">
    <w:name w:val="样式12"/>
    <w:basedOn w:val="1"/>
    <w:link w:val="106"/>
    <w:qFormat/>
    <w:uiPriority w:val="0"/>
    <w:pPr>
      <w:tabs>
        <w:tab w:val="left" w:pos="533"/>
      </w:tabs>
      <w:ind w:left="420" w:hanging="420"/>
    </w:pPr>
    <w:rPr>
      <w:sz w:val="24"/>
    </w:rPr>
  </w:style>
  <w:style w:type="character" w:customStyle="1" w:styleId="108">
    <w:name w:val="txt91"/>
    <w:qFormat/>
    <w:uiPriority w:val="0"/>
    <w:rPr>
      <w:b/>
      <w:bCs/>
      <w:color w:val="330066"/>
      <w:sz w:val="22"/>
      <w:szCs w:val="22"/>
    </w:rPr>
  </w:style>
  <w:style w:type="character" w:customStyle="1" w:styleId="109">
    <w:name w:val="txt14"/>
    <w:qFormat/>
    <w:uiPriority w:val="0"/>
    <w:rPr>
      <w:color w:val="000000"/>
      <w:sz w:val="29"/>
      <w:szCs w:val="29"/>
    </w:rPr>
  </w:style>
  <w:style w:type="paragraph" w:customStyle="1" w:styleId="110">
    <w:name w:val="大标题"/>
    <w:basedOn w:val="1"/>
    <w:qFormat/>
    <w:uiPriority w:val="0"/>
    <w:pPr>
      <w:jc w:val="center"/>
    </w:pPr>
    <w:rPr>
      <w:rFonts w:ascii="黑体" w:eastAsia="黑体" w:cs="宋体"/>
      <w:b/>
      <w:bCs/>
      <w:sz w:val="32"/>
    </w:rPr>
  </w:style>
  <w:style w:type="paragraph" w:customStyle="1" w:styleId="111">
    <w:name w:val="4 Char"/>
    <w:basedOn w:val="1"/>
    <w:qFormat/>
    <w:uiPriority w:val="0"/>
    <w:rPr>
      <w:szCs w:val="24"/>
    </w:rPr>
  </w:style>
  <w:style w:type="paragraph" w:customStyle="1" w:styleId="112">
    <w:name w:val="Char Char Char1"/>
    <w:basedOn w:val="1"/>
    <w:qFormat/>
    <w:uiPriority w:val="0"/>
    <w:rPr>
      <w:szCs w:val="24"/>
    </w:rPr>
  </w:style>
  <w:style w:type="paragraph" w:customStyle="1" w:styleId="113">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14">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15">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16">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17">
    <w:name w:val="Char"/>
    <w:basedOn w:val="1"/>
    <w:qFormat/>
    <w:uiPriority w:val="0"/>
    <w:rPr>
      <w:szCs w:val="21"/>
    </w:rPr>
  </w:style>
  <w:style w:type="paragraph" w:customStyle="1" w:styleId="118">
    <w:name w:val="列出段落2"/>
    <w:basedOn w:val="1"/>
    <w:qFormat/>
    <w:uiPriority w:val="0"/>
    <w:pPr>
      <w:ind w:firstLine="420" w:firstLineChars="200"/>
    </w:pPr>
    <w:rPr>
      <w:rFonts w:ascii="Calibri" w:hAnsi="Calibri" w:cs="Calibri"/>
      <w:szCs w:val="21"/>
    </w:rPr>
  </w:style>
  <w:style w:type="paragraph" w:customStyle="1" w:styleId="119">
    <w:name w:val="ST20_17"/>
    <w:basedOn w:val="6"/>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20">
    <w:name w:val="Char1"/>
    <w:basedOn w:val="1"/>
    <w:qFormat/>
    <w:uiPriority w:val="0"/>
    <w:rPr>
      <w:szCs w:val="24"/>
    </w:rPr>
  </w:style>
  <w:style w:type="paragraph" w:customStyle="1" w:styleId="121">
    <w:name w:val="Char Char Char Char"/>
    <w:basedOn w:val="1"/>
    <w:qFormat/>
    <w:uiPriority w:val="0"/>
    <w:pPr>
      <w:adjustRightInd w:val="0"/>
      <w:spacing w:line="360" w:lineRule="auto"/>
    </w:pPr>
    <w:rPr>
      <w:rFonts w:ascii="Tahoma" w:hAnsi="Tahoma"/>
      <w:kern w:val="0"/>
      <w:sz w:val="24"/>
    </w:rPr>
  </w:style>
  <w:style w:type="paragraph" w:customStyle="1" w:styleId="122">
    <w:name w:val="内容文字"/>
    <w:basedOn w:val="1"/>
    <w:qFormat/>
    <w:uiPriority w:val="0"/>
    <w:pPr>
      <w:spacing w:line="360" w:lineRule="exact"/>
    </w:pPr>
    <w:rPr>
      <w:rFonts w:ascii="宋体"/>
      <w:sz w:val="24"/>
    </w:rPr>
  </w:style>
  <w:style w:type="paragraph" w:customStyle="1" w:styleId="123">
    <w:name w:val="tablecontents"/>
    <w:basedOn w:val="1"/>
    <w:qFormat/>
    <w:uiPriority w:val="0"/>
    <w:pPr>
      <w:widowControl/>
      <w:spacing w:after="60"/>
    </w:pPr>
    <w:rPr>
      <w:rFonts w:ascii="Arial" w:hAnsi="Arial"/>
      <w:kern w:val="0"/>
      <w:sz w:val="20"/>
    </w:rPr>
  </w:style>
  <w:style w:type="paragraph" w:customStyle="1" w:styleId="124">
    <w:name w:val="5 Char Char Char Char"/>
    <w:basedOn w:val="1"/>
    <w:qFormat/>
    <w:uiPriority w:val="0"/>
    <w:pPr>
      <w:keepNext/>
      <w:keepLines/>
      <w:spacing w:line="360" w:lineRule="auto"/>
      <w:ind w:firstLine="480" w:firstLineChars="200"/>
    </w:pPr>
    <w:rPr>
      <w:kern w:val="0"/>
      <w:sz w:val="24"/>
    </w:rPr>
  </w:style>
  <w:style w:type="paragraph" w:customStyle="1" w:styleId="125">
    <w:name w:val="Char Char Char Char Char Char Char"/>
    <w:basedOn w:val="1"/>
    <w:qFormat/>
    <w:uiPriority w:val="0"/>
    <w:pPr>
      <w:adjustRightInd w:val="0"/>
      <w:spacing w:line="360" w:lineRule="auto"/>
    </w:pPr>
    <w:rPr>
      <w:rFonts w:ascii="Tahoma" w:hAnsi="Tahoma"/>
      <w:kern w:val="0"/>
      <w:sz w:val="24"/>
    </w:rPr>
  </w:style>
  <w:style w:type="character" w:customStyle="1" w:styleId="126">
    <w:name w:val="readmail_locationtip"/>
    <w:qFormat/>
    <w:uiPriority w:val="0"/>
  </w:style>
  <w:style w:type="table" w:customStyle="1" w:styleId="127">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8">
    <w:name w:val="TOC 11"/>
    <w:basedOn w:val="1"/>
    <w:next w:val="1"/>
    <w:qFormat/>
    <w:locked/>
    <w:uiPriority w:val="39"/>
    <w:rPr>
      <w:szCs w:val="21"/>
    </w:rPr>
  </w:style>
  <w:style w:type="character" w:customStyle="1" w:styleId="129">
    <w:name w:val="副标题 字符"/>
    <w:basedOn w:val="62"/>
    <w:link w:val="43"/>
    <w:qFormat/>
    <w:uiPriority w:val="0"/>
    <w:rPr>
      <w:rFonts w:ascii="Cambria" w:hAnsi="Cambria"/>
      <w:b/>
      <w:bCs/>
      <w:kern w:val="28"/>
      <w:sz w:val="32"/>
      <w:szCs w:val="32"/>
    </w:rPr>
  </w:style>
  <w:style w:type="character" w:customStyle="1" w:styleId="130">
    <w:name w:val="技术规范书正文 Char"/>
    <w:link w:val="131"/>
    <w:qFormat/>
    <w:locked/>
    <w:uiPriority w:val="0"/>
    <w:rPr>
      <w:kern w:val="2"/>
      <w:sz w:val="24"/>
      <w:szCs w:val="24"/>
    </w:rPr>
  </w:style>
  <w:style w:type="paragraph" w:customStyle="1" w:styleId="131">
    <w:name w:val="技术规范书正文"/>
    <w:link w:val="130"/>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32">
    <w:name w:val="TOC 41"/>
    <w:basedOn w:val="1"/>
    <w:next w:val="1"/>
    <w:qFormat/>
    <w:locked/>
    <w:uiPriority w:val="0"/>
    <w:pPr>
      <w:ind w:left="1260" w:leftChars="600"/>
    </w:pPr>
    <w:rPr>
      <w:szCs w:val="21"/>
    </w:rPr>
  </w:style>
  <w:style w:type="paragraph" w:customStyle="1" w:styleId="133">
    <w:name w:val="TOC 51"/>
    <w:basedOn w:val="1"/>
    <w:next w:val="1"/>
    <w:qFormat/>
    <w:locked/>
    <w:uiPriority w:val="0"/>
    <w:pPr>
      <w:ind w:left="1680" w:leftChars="800"/>
    </w:pPr>
    <w:rPr>
      <w:szCs w:val="21"/>
    </w:rPr>
  </w:style>
  <w:style w:type="paragraph" w:customStyle="1" w:styleId="134">
    <w:name w:val="TOC 71"/>
    <w:basedOn w:val="1"/>
    <w:next w:val="1"/>
    <w:qFormat/>
    <w:locked/>
    <w:uiPriority w:val="0"/>
    <w:pPr>
      <w:ind w:left="2520" w:leftChars="1200"/>
    </w:pPr>
    <w:rPr>
      <w:szCs w:val="21"/>
    </w:rPr>
  </w:style>
  <w:style w:type="paragraph" w:customStyle="1" w:styleId="135">
    <w:name w:val="TOC 21"/>
    <w:basedOn w:val="1"/>
    <w:next w:val="1"/>
    <w:qFormat/>
    <w:locked/>
    <w:uiPriority w:val="0"/>
    <w:pPr>
      <w:ind w:left="420" w:leftChars="200"/>
    </w:pPr>
    <w:rPr>
      <w:szCs w:val="21"/>
    </w:rPr>
  </w:style>
  <w:style w:type="paragraph" w:customStyle="1" w:styleId="136">
    <w:name w:val="TOC 61"/>
    <w:basedOn w:val="1"/>
    <w:next w:val="1"/>
    <w:qFormat/>
    <w:locked/>
    <w:uiPriority w:val="0"/>
    <w:pPr>
      <w:ind w:left="2100" w:leftChars="1000"/>
    </w:pPr>
    <w:rPr>
      <w:szCs w:val="21"/>
    </w:rPr>
  </w:style>
  <w:style w:type="paragraph" w:customStyle="1" w:styleId="137">
    <w:name w:val="TOC 31"/>
    <w:basedOn w:val="1"/>
    <w:next w:val="1"/>
    <w:qFormat/>
    <w:locked/>
    <w:uiPriority w:val="0"/>
    <w:pPr>
      <w:ind w:left="840" w:leftChars="400"/>
    </w:pPr>
    <w:rPr>
      <w:szCs w:val="21"/>
    </w:rPr>
  </w:style>
  <w:style w:type="paragraph" w:customStyle="1" w:styleId="138">
    <w:name w:val="TOC 91"/>
    <w:basedOn w:val="1"/>
    <w:next w:val="1"/>
    <w:qFormat/>
    <w:locked/>
    <w:uiPriority w:val="0"/>
    <w:pPr>
      <w:ind w:left="3360" w:leftChars="1600"/>
    </w:pPr>
    <w:rPr>
      <w:szCs w:val="21"/>
    </w:rPr>
  </w:style>
  <w:style w:type="paragraph" w:customStyle="1" w:styleId="139">
    <w:name w:val="TOC 81"/>
    <w:basedOn w:val="1"/>
    <w:next w:val="1"/>
    <w:qFormat/>
    <w:locked/>
    <w:uiPriority w:val="0"/>
    <w:pPr>
      <w:ind w:left="2940" w:leftChars="1400"/>
    </w:pPr>
    <w:rPr>
      <w:szCs w:val="21"/>
    </w:rPr>
  </w:style>
  <w:style w:type="paragraph" w:customStyle="1" w:styleId="140">
    <w:name w:val="正文缩进1"/>
    <w:basedOn w:val="1"/>
    <w:qFormat/>
    <w:uiPriority w:val="0"/>
    <w:pPr>
      <w:adjustRightInd w:val="0"/>
      <w:spacing w:line="360" w:lineRule="atLeast"/>
      <w:ind w:firstLine="420"/>
      <w:jc w:val="left"/>
      <w:textAlignment w:val="baseline"/>
    </w:pPr>
    <w:rPr>
      <w:kern w:val="0"/>
      <w:sz w:val="24"/>
    </w:rPr>
  </w:style>
  <w:style w:type="paragraph" w:customStyle="1" w:styleId="141">
    <w:name w:val="正文1"/>
    <w:basedOn w:val="1"/>
    <w:link w:val="186"/>
    <w:qFormat/>
    <w:uiPriority w:val="0"/>
    <w:pPr>
      <w:adjustRightInd w:val="0"/>
      <w:spacing w:line="360" w:lineRule="atLeast"/>
      <w:jc w:val="left"/>
      <w:textAlignment w:val="baseline"/>
    </w:pPr>
    <w:rPr>
      <w:rFonts w:ascii="宋体"/>
      <w:kern w:val="0"/>
      <w:sz w:val="24"/>
    </w:rPr>
  </w:style>
  <w:style w:type="paragraph" w:customStyle="1" w:styleId="142">
    <w:name w:val="样式1"/>
    <w:basedOn w:val="1"/>
    <w:link w:val="185"/>
    <w:qFormat/>
    <w:uiPriority w:val="0"/>
    <w:pPr>
      <w:adjustRightInd w:val="0"/>
      <w:spacing w:line="420" w:lineRule="auto"/>
      <w:jc w:val="center"/>
      <w:textAlignment w:val="baseline"/>
    </w:pPr>
    <w:rPr>
      <w:rFonts w:ascii="宋体"/>
      <w:kern w:val="0"/>
      <w:sz w:val="24"/>
      <w:szCs w:val="24"/>
    </w:rPr>
  </w:style>
  <w:style w:type="paragraph" w:customStyle="1" w:styleId="143">
    <w:name w:val="Char Char1 Char"/>
    <w:basedOn w:val="1"/>
    <w:qFormat/>
    <w:uiPriority w:val="0"/>
    <w:rPr>
      <w:rFonts w:ascii="宋体"/>
      <w:kern w:val="0"/>
      <w:sz w:val="24"/>
    </w:rPr>
  </w:style>
  <w:style w:type="paragraph" w:customStyle="1" w:styleId="144">
    <w:name w:val="纯文本1"/>
    <w:basedOn w:val="1"/>
    <w:qFormat/>
    <w:uiPriority w:val="0"/>
    <w:rPr>
      <w:rFonts w:ascii="宋体" w:hAnsi="Courier New"/>
    </w:rPr>
  </w:style>
  <w:style w:type="paragraph" w:customStyle="1" w:styleId="145">
    <w:name w:val="p0"/>
    <w:basedOn w:val="1"/>
    <w:qFormat/>
    <w:uiPriority w:val="0"/>
    <w:pPr>
      <w:widowControl/>
    </w:pPr>
    <w:rPr>
      <w:kern w:val="0"/>
      <w:szCs w:val="21"/>
    </w:rPr>
  </w:style>
  <w:style w:type="paragraph" w:customStyle="1" w:styleId="146">
    <w:name w:val="Char Char Char Char1"/>
    <w:basedOn w:val="1"/>
    <w:qFormat/>
    <w:uiPriority w:val="0"/>
    <w:rPr>
      <w:szCs w:val="24"/>
    </w:rPr>
  </w:style>
  <w:style w:type="character" w:customStyle="1" w:styleId="147">
    <w:name w:val="正文文本首行缩进 字符"/>
    <w:basedOn w:val="87"/>
    <w:link w:val="58"/>
    <w:qFormat/>
    <w:uiPriority w:val="0"/>
    <w:rPr>
      <w:rFonts w:ascii="宋体" w:hAnsi="宋体"/>
      <w:color w:val="0000FF"/>
      <w:kern w:val="2"/>
      <w:sz w:val="24"/>
      <w:szCs w:val="24"/>
    </w:rPr>
  </w:style>
  <w:style w:type="character" w:customStyle="1" w:styleId="148">
    <w:name w:val="标题 1 Char1"/>
    <w:basedOn w:val="62"/>
    <w:qFormat/>
    <w:uiPriority w:val="0"/>
    <w:rPr>
      <w:rFonts w:eastAsia="宋体"/>
      <w:b/>
      <w:bCs/>
      <w:color w:val="000000"/>
      <w:kern w:val="44"/>
      <w:sz w:val="24"/>
      <w:szCs w:val="32"/>
      <w:lang w:val="en-US" w:eastAsia="zh-CN" w:bidi="ar-SA"/>
    </w:rPr>
  </w:style>
  <w:style w:type="character" w:customStyle="1" w:styleId="149">
    <w:name w:val="标题 2 Char1"/>
    <w:basedOn w:val="62"/>
    <w:qFormat/>
    <w:uiPriority w:val="0"/>
    <w:rPr>
      <w:rFonts w:eastAsia="宋体"/>
      <w:b/>
      <w:bCs/>
      <w:kern w:val="2"/>
      <w:sz w:val="24"/>
      <w:lang w:val="en-US" w:eastAsia="zh-CN" w:bidi="ar-SA"/>
    </w:rPr>
  </w:style>
  <w:style w:type="paragraph" w:customStyle="1" w:styleId="150">
    <w:name w:val="Char Char Char"/>
    <w:basedOn w:val="1"/>
    <w:qFormat/>
    <w:uiPriority w:val="0"/>
    <w:rPr>
      <w:sz w:val="24"/>
      <w:szCs w:val="24"/>
    </w:rPr>
  </w:style>
  <w:style w:type="paragraph" w:customStyle="1" w:styleId="151">
    <w:name w:val="Char1 Char Char Char"/>
    <w:basedOn w:val="1"/>
    <w:qFormat/>
    <w:uiPriority w:val="0"/>
    <w:rPr>
      <w:sz w:val="24"/>
      <w:szCs w:val="24"/>
    </w:rPr>
  </w:style>
  <w:style w:type="paragraph" w:customStyle="1" w:styleId="152">
    <w:name w:val="Char Char Char Char Char Char Char Char Char Char Char Char"/>
    <w:basedOn w:val="1"/>
    <w:qFormat/>
    <w:uiPriority w:val="0"/>
    <w:rPr>
      <w:szCs w:val="24"/>
    </w:rPr>
  </w:style>
  <w:style w:type="paragraph" w:customStyle="1" w:styleId="153">
    <w:name w:val="Char Char2 Char Char Char Char Char Char Char Char Char1"/>
    <w:basedOn w:val="1"/>
    <w:qFormat/>
    <w:uiPriority w:val="0"/>
    <w:rPr>
      <w:sz w:val="24"/>
      <w:szCs w:val="24"/>
    </w:rPr>
  </w:style>
  <w:style w:type="paragraph" w:customStyle="1" w:styleId="154">
    <w:name w:val="Char Char"/>
    <w:basedOn w:val="1"/>
    <w:qFormat/>
    <w:uiPriority w:val="0"/>
    <w:rPr>
      <w:sz w:val="24"/>
      <w:szCs w:val="24"/>
    </w:rPr>
  </w:style>
  <w:style w:type="paragraph" w:customStyle="1" w:styleId="155">
    <w:name w:val="表格"/>
    <w:basedOn w:val="1"/>
    <w:qFormat/>
    <w:uiPriority w:val="0"/>
    <w:pPr>
      <w:adjustRightInd w:val="0"/>
      <w:spacing w:before="60" w:after="60"/>
      <w:jc w:val="center"/>
      <w:textAlignment w:val="baseline"/>
    </w:pPr>
    <w:rPr>
      <w:rFonts w:ascii="宋体"/>
      <w:kern w:val="0"/>
      <w:sz w:val="24"/>
    </w:rPr>
  </w:style>
  <w:style w:type="paragraph" w:customStyle="1" w:styleId="156">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7">
    <w:name w:val="样式2"/>
    <w:basedOn w:val="1"/>
    <w:link w:val="181"/>
    <w:qFormat/>
    <w:uiPriority w:val="0"/>
    <w:pPr>
      <w:adjustRightInd w:val="0"/>
      <w:spacing w:line="410" w:lineRule="atLeast"/>
      <w:jc w:val="left"/>
      <w:textAlignment w:val="baseline"/>
    </w:pPr>
    <w:rPr>
      <w:kern w:val="0"/>
      <w:sz w:val="24"/>
    </w:rPr>
  </w:style>
  <w:style w:type="paragraph" w:customStyle="1" w:styleId="158">
    <w:name w:val="1-表内"/>
    <w:basedOn w:val="1"/>
    <w:qFormat/>
    <w:uiPriority w:val="0"/>
    <w:rPr>
      <w:rFonts w:ascii="宋体" w:hAnsi="宋体"/>
      <w:szCs w:val="21"/>
    </w:rPr>
  </w:style>
  <w:style w:type="paragraph" w:customStyle="1" w:styleId="159">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60">
    <w:name w:val="Char Char Char Char Char Char Char Char Char Char Char Char1 Char Char Char Char"/>
    <w:basedOn w:val="1"/>
    <w:qFormat/>
    <w:uiPriority w:val="0"/>
    <w:rPr>
      <w:szCs w:val="24"/>
    </w:rPr>
  </w:style>
  <w:style w:type="character" w:customStyle="1" w:styleId="161">
    <w:name w:val="章节标题 Char Char"/>
    <w:basedOn w:val="62"/>
    <w:qFormat/>
    <w:uiPriority w:val="0"/>
    <w:rPr>
      <w:kern w:val="44"/>
      <w:sz w:val="44"/>
      <w:szCs w:val="44"/>
    </w:rPr>
  </w:style>
  <w:style w:type="paragraph" w:customStyle="1" w:styleId="162">
    <w:name w:val="Char Char Char Char Char Char1"/>
    <w:basedOn w:val="1"/>
    <w:qFormat/>
    <w:uiPriority w:val="0"/>
    <w:rPr>
      <w:szCs w:val="24"/>
    </w:rPr>
  </w:style>
  <w:style w:type="paragraph" w:customStyle="1" w:styleId="163">
    <w:name w:val="报告正文"/>
    <w:basedOn w:val="1"/>
    <w:qFormat/>
    <w:uiPriority w:val="0"/>
    <w:pPr>
      <w:spacing w:line="400" w:lineRule="exact"/>
      <w:ind w:firstLine="482"/>
    </w:pPr>
    <w:rPr>
      <w:lang w:bidi="he-IL"/>
    </w:rPr>
  </w:style>
  <w:style w:type="paragraph" w:customStyle="1" w:styleId="164">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65">
    <w:name w:val="Char Char Char2"/>
    <w:basedOn w:val="1"/>
    <w:qFormat/>
    <w:uiPriority w:val="0"/>
    <w:rPr>
      <w:szCs w:val="24"/>
    </w:rPr>
  </w:style>
  <w:style w:type="paragraph" w:customStyle="1" w:styleId="166">
    <w:name w:val="默认段落字体 Para Char Char Char Char"/>
    <w:basedOn w:val="1"/>
    <w:qFormat/>
    <w:uiPriority w:val="0"/>
    <w:rPr>
      <w:szCs w:val="24"/>
    </w:rPr>
  </w:style>
  <w:style w:type="paragraph" w:customStyle="1" w:styleId="167">
    <w:name w:val="Char Char1"/>
    <w:basedOn w:val="1"/>
    <w:qFormat/>
    <w:uiPriority w:val="0"/>
    <w:pPr>
      <w:adjustRightInd w:val="0"/>
      <w:spacing w:line="360" w:lineRule="atLeast"/>
      <w:jc w:val="left"/>
      <w:textAlignment w:val="baseline"/>
    </w:pPr>
    <w:rPr>
      <w:kern w:val="0"/>
      <w:sz w:val="24"/>
    </w:rPr>
  </w:style>
  <w:style w:type="character" w:customStyle="1" w:styleId="168">
    <w:name w:val="章节标题 Char"/>
    <w:qFormat/>
    <w:uiPriority w:val="0"/>
    <w:rPr>
      <w:rFonts w:eastAsia="宋体"/>
      <w:b/>
      <w:bCs/>
      <w:kern w:val="44"/>
      <w:sz w:val="44"/>
      <w:szCs w:val="44"/>
      <w:lang w:val="en-US" w:eastAsia="zh-CN" w:bidi="ar-SA"/>
    </w:rPr>
  </w:style>
  <w:style w:type="character" w:customStyle="1" w:styleId="169">
    <w:name w:val="标题 2 Char"/>
    <w:qFormat/>
    <w:uiPriority w:val="0"/>
    <w:rPr>
      <w:rFonts w:ascii="Arial" w:hAnsi="Arial" w:eastAsia="黑体"/>
      <w:b/>
      <w:bCs/>
      <w:kern w:val="2"/>
      <w:sz w:val="32"/>
      <w:szCs w:val="32"/>
      <w:lang w:val="en-US" w:eastAsia="zh-CN" w:bidi="ar-SA"/>
    </w:rPr>
  </w:style>
  <w:style w:type="character" w:customStyle="1" w:styleId="170">
    <w:name w:val="标题 3 Char"/>
    <w:qFormat/>
    <w:uiPriority w:val="0"/>
    <w:rPr>
      <w:rFonts w:eastAsia="宋体"/>
      <w:b/>
      <w:bCs/>
      <w:kern w:val="2"/>
      <w:sz w:val="32"/>
      <w:szCs w:val="32"/>
      <w:lang w:val="en-US" w:eastAsia="zh-CN" w:bidi="ar-SA"/>
    </w:rPr>
  </w:style>
  <w:style w:type="character" w:customStyle="1" w:styleId="171">
    <w:name w:val="标题 4 Char"/>
    <w:qFormat/>
    <w:uiPriority w:val="0"/>
    <w:rPr>
      <w:rFonts w:ascii="Arial" w:hAnsi="Arial" w:eastAsia="黑体"/>
      <w:b/>
      <w:bCs/>
      <w:kern w:val="2"/>
      <w:sz w:val="28"/>
      <w:szCs w:val="28"/>
      <w:lang w:val="en-US" w:eastAsia="zh-CN" w:bidi="ar-SA"/>
    </w:rPr>
  </w:style>
  <w:style w:type="character" w:customStyle="1" w:styleId="172">
    <w:name w:val="正文缩进 Char1"/>
    <w:qFormat/>
    <w:uiPriority w:val="0"/>
    <w:rPr>
      <w:rFonts w:eastAsia="宋体"/>
      <w:kern w:val="2"/>
      <w:sz w:val="21"/>
      <w:szCs w:val="24"/>
      <w:lang w:val="en-US" w:eastAsia="zh-CN" w:bidi="ar-SA"/>
    </w:rPr>
  </w:style>
  <w:style w:type="character" w:customStyle="1" w:styleId="173">
    <w:name w:val="标题 5 Char"/>
    <w:qFormat/>
    <w:uiPriority w:val="0"/>
    <w:rPr>
      <w:rFonts w:ascii="小标宋" w:eastAsia="宋体"/>
      <w:kern w:val="2"/>
      <w:sz w:val="24"/>
      <w:szCs w:val="24"/>
      <w:lang w:val="en-US" w:eastAsia="zh-CN" w:bidi="he-IL"/>
    </w:rPr>
  </w:style>
  <w:style w:type="character" w:customStyle="1" w:styleId="174">
    <w:name w:val="标题 6 Char"/>
    <w:qFormat/>
    <w:uiPriority w:val="0"/>
    <w:rPr>
      <w:rFonts w:ascii="Arial" w:hAnsi="Arial" w:eastAsia="黑体"/>
      <w:kern w:val="2"/>
      <w:sz w:val="24"/>
      <w:szCs w:val="24"/>
      <w:lang w:val="en-US" w:eastAsia="zh-CN" w:bidi="he-IL"/>
    </w:rPr>
  </w:style>
  <w:style w:type="character" w:customStyle="1" w:styleId="175">
    <w:name w:val="标题 7 Char"/>
    <w:qFormat/>
    <w:uiPriority w:val="0"/>
    <w:rPr>
      <w:rFonts w:ascii="宋体" w:eastAsia="宋体"/>
      <w:kern w:val="2"/>
      <w:sz w:val="24"/>
      <w:szCs w:val="24"/>
      <w:lang w:val="en-US" w:eastAsia="zh-CN" w:bidi="he-IL"/>
    </w:rPr>
  </w:style>
  <w:style w:type="character" w:customStyle="1" w:styleId="176">
    <w:name w:val="标题 9 Char"/>
    <w:qFormat/>
    <w:uiPriority w:val="0"/>
    <w:rPr>
      <w:rFonts w:ascii="Arial" w:hAnsi="Arial" w:eastAsia="黑体"/>
      <w:kern w:val="2"/>
      <w:sz w:val="21"/>
      <w:szCs w:val="21"/>
      <w:lang w:val="en-US" w:eastAsia="zh-CN" w:bidi="ar-SA"/>
    </w:rPr>
  </w:style>
  <w:style w:type="character" w:customStyle="1" w:styleId="177">
    <w:name w:val="日期 Char"/>
    <w:qFormat/>
    <w:uiPriority w:val="0"/>
    <w:rPr>
      <w:rFonts w:eastAsia="宋体"/>
      <w:kern w:val="2"/>
      <w:sz w:val="21"/>
      <w:szCs w:val="24"/>
      <w:lang w:val="en-US" w:eastAsia="zh-CN" w:bidi="ar-SA"/>
    </w:rPr>
  </w:style>
  <w:style w:type="character" w:customStyle="1" w:styleId="178">
    <w:name w:val="页眉 Char"/>
    <w:qFormat/>
    <w:uiPriority w:val="0"/>
    <w:rPr>
      <w:rFonts w:eastAsia="宋体"/>
      <w:kern w:val="2"/>
      <w:sz w:val="18"/>
      <w:szCs w:val="18"/>
      <w:lang w:val="en-US" w:eastAsia="zh-CN" w:bidi="ar-SA"/>
    </w:rPr>
  </w:style>
  <w:style w:type="character" w:customStyle="1" w:styleId="179">
    <w:name w:val="文档结构图 Char"/>
    <w:qFormat/>
    <w:uiPriority w:val="0"/>
    <w:rPr>
      <w:rFonts w:eastAsia="宋体"/>
      <w:sz w:val="21"/>
      <w:szCs w:val="21"/>
      <w:lang w:val="zh-CN" w:eastAsia="zh-CN" w:bidi="ar-SA"/>
    </w:rPr>
  </w:style>
  <w:style w:type="character" w:customStyle="1" w:styleId="180">
    <w:name w:val="正文文本 Char"/>
    <w:qFormat/>
    <w:uiPriority w:val="0"/>
    <w:rPr>
      <w:rFonts w:eastAsia="宋体"/>
      <w:sz w:val="24"/>
      <w:lang w:val="zh-CN" w:eastAsia="zh-CN" w:bidi="ar-SA"/>
    </w:rPr>
  </w:style>
  <w:style w:type="character" w:customStyle="1" w:styleId="181">
    <w:name w:val="样式2 Char1"/>
    <w:link w:val="157"/>
    <w:qFormat/>
    <w:uiPriority w:val="0"/>
    <w:rPr>
      <w:sz w:val="24"/>
    </w:rPr>
  </w:style>
  <w:style w:type="character" w:customStyle="1" w:styleId="182">
    <w:name w:val="正文文本缩进 Char"/>
    <w:qFormat/>
    <w:uiPriority w:val="0"/>
    <w:rPr>
      <w:rFonts w:eastAsia="宋体"/>
      <w:kern w:val="2"/>
      <w:sz w:val="21"/>
      <w:szCs w:val="24"/>
      <w:lang w:val="en-US" w:eastAsia="zh-CN" w:bidi="ar-SA"/>
    </w:rPr>
  </w:style>
  <w:style w:type="paragraph" w:customStyle="1" w:styleId="183">
    <w:name w:val="样式"/>
    <w:link w:val="18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84">
    <w:name w:val="样式 Char"/>
    <w:link w:val="183"/>
    <w:qFormat/>
    <w:uiPriority w:val="0"/>
    <w:rPr>
      <w:rFonts w:ascii="宋体" w:hAnsi="宋体" w:cs="宋体"/>
      <w:sz w:val="24"/>
      <w:szCs w:val="24"/>
    </w:rPr>
  </w:style>
  <w:style w:type="character" w:customStyle="1" w:styleId="185">
    <w:name w:val="样式1 Char"/>
    <w:link w:val="142"/>
    <w:qFormat/>
    <w:uiPriority w:val="0"/>
    <w:rPr>
      <w:rFonts w:ascii="宋体"/>
      <w:sz w:val="24"/>
      <w:szCs w:val="24"/>
    </w:rPr>
  </w:style>
  <w:style w:type="character" w:customStyle="1" w:styleId="186">
    <w:name w:val="正文1 Char"/>
    <w:link w:val="141"/>
    <w:qFormat/>
    <w:uiPriority w:val="0"/>
    <w:rPr>
      <w:rFonts w:ascii="宋体"/>
      <w:sz w:val="24"/>
    </w:rPr>
  </w:style>
  <w:style w:type="character" w:customStyle="1" w:styleId="187">
    <w:name w:val="批注框文本 Char"/>
    <w:qFormat/>
    <w:uiPriority w:val="0"/>
    <w:rPr>
      <w:rFonts w:eastAsia="宋体"/>
      <w:kern w:val="2"/>
      <w:sz w:val="18"/>
      <w:szCs w:val="18"/>
      <w:lang w:val="en-US" w:eastAsia="zh-CN" w:bidi="ar-SA"/>
    </w:rPr>
  </w:style>
  <w:style w:type="character" w:customStyle="1" w:styleId="188">
    <w:name w:val="正文文本缩进 2 Char"/>
    <w:link w:val="189"/>
    <w:qFormat/>
    <w:uiPriority w:val="0"/>
    <w:rPr>
      <w:sz w:val="24"/>
    </w:rPr>
  </w:style>
  <w:style w:type="paragraph" w:customStyle="1" w:styleId="189">
    <w:name w:val="正文文本缩进 21"/>
    <w:basedOn w:val="1"/>
    <w:link w:val="188"/>
    <w:qFormat/>
    <w:uiPriority w:val="0"/>
    <w:pPr>
      <w:ind w:firstLine="840"/>
    </w:pPr>
    <w:rPr>
      <w:kern w:val="0"/>
      <w:sz w:val="24"/>
    </w:rPr>
  </w:style>
  <w:style w:type="character" w:customStyle="1" w:styleId="190">
    <w:name w:val="标书正文 Char Char"/>
    <w:link w:val="191"/>
    <w:qFormat/>
    <w:uiPriority w:val="0"/>
    <w:rPr>
      <w:kern w:val="2"/>
      <w:sz w:val="24"/>
      <w:szCs w:val="24"/>
    </w:rPr>
  </w:style>
  <w:style w:type="paragraph" w:customStyle="1" w:styleId="191">
    <w:name w:val="标书正文"/>
    <w:basedOn w:val="1"/>
    <w:link w:val="190"/>
    <w:qFormat/>
    <w:uiPriority w:val="0"/>
    <w:pPr>
      <w:spacing w:line="360" w:lineRule="auto"/>
      <w:ind w:firstLine="200" w:firstLineChars="200"/>
      <w:jc w:val="left"/>
    </w:pPr>
    <w:rPr>
      <w:sz w:val="24"/>
      <w:szCs w:val="24"/>
    </w:rPr>
  </w:style>
  <w:style w:type="character" w:customStyle="1" w:styleId="192">
    <w:name w:val="二级标题 Char Char"/>
    <w:link w:val="193"/>
    <w:qFormat/>
    <w:uiPriority w:val="0"/>
    <w:rPr>
      <w:rFonts w:ascii="宋体"/>
      <w:bCs/>
      <w:color w:val="000000"/>
      <w:sz w:val="24"/>
      <w:szCs w:val="24"/>
    </w:rPr>
  </w:style>
  <w:style w:type="paragraph" w:customStyle="1" w:styleId="193">
    <w:name w:val="二级标题"/>
    <w:basedOn w:val="1"/>
    <w:link w:val="192"/>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94">
    <w:name w:val="样式 标题 1b1章节标题章标题 1-*+h11st levelSection Headl1 + 四号 Char Char"/>
    <w:link w:val="195"/>
    <w:qFormat/>
    <w:uiPriority w:val="0"/>
    <w:rPr>
      <w:b/>
      <w:bCs/>
      <w:color w:val="000000"/>
      <w:kern w:val="44"/>
      <w:sz w:val="28"/>
      <w:szCs w:val="28"/>
    </w:rPr>
  </w:style>
  <w:style w:type="paragraph" w:customStyle="1" w:styleId="195">
    <w:name w:val="样式 标题 1b1章节标题章标题 1-*+h11st levelSection Headl1 + 四号"/>
    <w:basedOn w:val="196"/>
    <w:link w:val="194"/>
    <w:qFormat/>
    <w:uiPriority w:val="0"/>
    <w:pPr>
      <w:tabs>
        <w:tab w:val="left" w:leader="dot" w:pos="0"/>
        <w:tab w:val="left" w:pos="900"/>
      </w:tabs>
      <w:spacing w:before="0"/>
      <w:ind w:left="0" w:firstLine="0"/>
    </w:pPr>
    <w:rPr>
      <w:bCs/>
      <w:color w:val="000000"/>
      <w:szCs w:val="28"/>
    </w:rPr>
  </w:style>
  <w:style w:type="paragraph" w:customStyle="1" w:styleId="196">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97">
    <w:name w:val="YJB1 Char Char"/>
    <w:link w:val="198"/>
    <w:qFormat/>
    <w:uiPriority w:val="0"/>
    <w:rPr>
      <w:rFonts w:ascii="Arial" w:hAnsi="Arial"/>
      <w:kern w:val="2"/>
      <w:sz w:val="24"/>
      <w:szCs w:val="24"/>
    </w:rPr>
  </w:style>
  <w:style w:type="paragraph" w:customStyle="1" w:styleId="198">
    <w:name w:val="YJB1"/>
    <w:basedOn w:val="1"/>
    <w:link w:val="197"/>
    <w:qFormat/>
    <w:uiPriority w:val="0"/>
    <w:pPr>
      <w:spacing w:line="360" w:lineRule="auto"/>
      <w:ind w:left="450" w:leftChars="450"/>
    </w:pPr>
    <w:rPr>
      <w:rFonts w:ascii="Arial" w:hAnsi="Arial"/>
      <w:sz w:val="24"/>
      <w:szCs w:val="24"/>
    </w:rPr>
  </w:style>
  <w:style w:type="character" w:customStyle="1" w:styleId="199">
    <w:name w:val="YJB2 Char Char"/>
    <w:link w:val="200"/>
    <w:qFormat/>
    <w:uiPriority w:val="0"/>
    <w:rPr>
      <w:rFonts w:ascii="Arial" w:hAnsi="Arial"/>
      <w:kern w:val="2"/>
      <w:sz w:val="24"/>
      <w:szCs w:val="24"/>
    </w:rPr>
  </w:style>
  <w:style w:type="paragraph" w:customStyle="1" w:styleId="200">
    <w:name w:val="YJB2"/>
    <w:basedOn w:val="1"/>
    <w:link w:val="199"/>
    <w:qFormat/>
    <w:uiPriority w:val="0"/>
    <w:pPr>
      <w:spacing w:line="360" w:lineRule="auto"/>
      <w:ind w:left="450" w:hanging="450" w:hangingChars="450"/>
    </w:pPr>
    <w:rPr>
      <w:rFonts w:ascii="Arial" w:hAnsi="Arial"/>
      <w:sz w:val="24"/>
      <w:szCs w:val="24"/>
    </w:rPr>
  </w:style>
  <w:style w:type="character" w:customStyle="1" w:styleId="201">
    <w:name w:val="样式 标题 1章节标题 + 三号 Char Char"/>
    <w:link w:val="202"/>
    <w:qFormat/>
    <w:uiPriority w:val="0"/>
    <w:rPr>
      <w:b/>
      <w:bCs/>
      <w:kern w:val="44"/>
      <w:sz w:val="32"/>
      <w:szCs w:val="44"/>
    </w:rPr>
  </w:style>
  <w:style w:type="paragraph" w:customStyle="1" w:styleId="202">
    <w:name w:val="样式 标题 1章节标题 + 三号"/>
    <w:basedOn w:val="2"/>
    <w:link w:val="201"/>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203">
    <w:name w:val="正文文本缩进 22"/>
    <w:basedOn w:val="1"/>
    <w:qFormat/>
    <w:uiPriority w:val="0"/>
    <w:pPr>
      <w:ind w:firstLine="840"/>
    </w:pPr>
    <w:rPr>
      <w:kern w:val="0"/>
      <w:sz w:val="24"/>
      <w:lang w:val="zh-CN" w:eastAsia="zh-CN"/>
    </w:rPr>
  </w:style>
  <w:style w:type="paragraph" w:customStyle="1" w:styleId="204">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205">
    <w:name w:val="正文文本 3 字符"/>
    <w:basedOn w:val="62"/>
    <w:link w:val="24"/>
    <w:qFormat/>
    <w:uiPriority w:val="0"/>
    <w:rPr>
      <w:kern w:val="2"/>
      <w:sz w:val="16"/>
      <w:szCs w:val="16"/>
    </w:rPr>
  </w:style>
  <w:style w:type="character" w:customStyle="1" w:styleId="206">
    <w:name w:val="信息标题 字符"/>
    <w:basedOn w:val="62"/>
    <w:link w:val="51"/>
    <w:qFormat/>
    <w:uiPriority w:val="0"/>
    <w:rPr>
      <w:rFonts w:ascii="Arial" w:hAnsi="Arial"/>
      <w:spacing w:val="-5"/>
    </w:rPr>
  </w:style>
  <w:style w:type="paragraph" w:customStyle="1" w:styleId="207">
    <w:name w:val="日期2"/>
    <w:basedOn w:val="1"/>
    <w:next w:val="1"/>
    <w:qFormat/>
    <w:uiPriority w:val="0"/>
    <w:pPr>
      <w:adjustRightInd w:val="0"/>
      <w:spacing w:line="312" w:lineRule="atLeast"/>
      <w:textAlignment w:val="baseline"/>
    </w:pPr>
    <w:rPr>
      <w:kern w:val="0"/>
      <w:sz w:val="28"/>
      <w:szCs w:val="28"/>
    </w:rPr>
  </w:style>
  <w:style w:type="paragraph" w:customStyle="1" w:styleId="208">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209">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210">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2">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3">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4">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9">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20">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21">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2">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3">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25">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26">
    <w:name w:val="Char21"/>
    <w:basedOn w:val="1"/>
    <w:qFormat/>
    <w:uiPriority w:val="0"/>
    <w:pPr>
      <w:adjustRightInd w:val="0"/>
      <w:spacing w:line="360" w:lineRule="atLeast"/>
    </w:pPr>
    <w:rPr>
      <w:szCs w:val="24"/>
    </w:rPr>
  </w:style>
  <w:style w:type="paragraph" w:customStyle="1" w:styleId="227">
    <w:name w:val="列出段落"/>
    <w:basedOn w:val="1"/>
    <w:qFormat/>
    <w:uiPriority w:val="0"/>
    <w:pPr>
      <w:ind w:firstLine="420" w:firstLineChars="200"/>
    </w:pPr>
    <w:rPr>
      <w:rFonts w:ascii="Calibri" w:hAnsi="Calibri"/>
      <w:szCs w:val="22"/>
    </w:rPr>
  </w:style>
  <w:style w:type="paragraph" w:customStyle="1" w:styleId="228">
    <w:name w:val="TOC Heading"/>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29">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30">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1">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2">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3">
    <w:name w:val="Char Char Char Char Char Char Char1"/>
    <w:basedOn w:val="1"/>
    <w:qFormat/>
    <w:uiPriority w:val="0"/>
    <w:rPr>
      <w:szCs w:val="24"/>
    </w:rPr>
  </w:style>
  <w:style w:type="paragraph" w:customStyle="1" w:styleId="234">
    <w:name w:val="Char Char Char Char Char Char Char Char Char1"/>
    <w:basedOn w:val="1"/>
    <w:qFormat/>
    <w:uiPriority w:val="0"/>
    <w:rPr>
      <w:szCs w:val="24"/>
    </w:rPr>
  </w:style>
  <w:style w:type="paragraph" w:customStyle="1" w:styleId="235">
    <w:name w:val="纯文本3"/>
    <w:basedOn w:val="1"/>
    <w:qFormat/>
    <w:uiPriority w:val="0"/>
    <w:pPr>
      <w:adjustRightInd w:val="0"/>
      <w:textAlignment w:val="baseline"/>
    </w:pPr>
    <w:rPr>
      <w:rFonts w:ascii="宋体" w:hAnsi="Courier New"/>
    </w:rPr>
  </w:style>
  <w:style w:type="paragraph" w:customStyle="1" w:styleId="236">
    <w:name w:val="样式20"/>
    <w:basedOn w:val="54"/>
    <w:next w:val="54"/>
    <w:qFormat/>
    <w:uiPriority w:val="0"/>
    <w:pPr>
      <w:spacing w:line="360" w:lineRule="auto"/>
      <w:jc w:val="both"/>
      <w:textAlignment w:val="auto"/>
    </w:pPr>
  </w:style>
  <w:style w:type="paragraph" w:customStyle="1" w:styleId="237">
    <w:name w:val="Char Char Char Char Char Char Char Char Char Char Char Char Char1"/>
    <w:basedOn w:val="1"/>
    <w:qFormat/>
    <w:uiPriority w:val="0"/>
    <w:rPr>
      <w:szCs w:val="24"/>
    </w:rPr>
  </w:style>
  <w:style w:type="paragraph" w:customStyle="1" w:styleId="238">
    <w:name w:val="Char1 Char Char Char1"/>
    <w:basedOn w:val="1"/>
    <w:semiHidden/>
    <w:qFormat/>
    <w:uiPriority w:val="0"/>
    <w:pPr>
      <w:snapToGrid w:val="0"/>
      <w:spacing w:line="440" w:lineRule="atLeast"/>
    </w:pPr>
    <w:rPr>
      <w:rFonts w:ascii="宋体"/>
      <w:sz w:val="24"/>
      <w:szCs w:val="24"/>
    </w:rPr>
  </w:style>
  <w:style w:type="paragraph" w:customStyle="1" w:styleId="239">
    <w:name w:val="*正文_0"/>
    <w:basedOn w:val="1"/>
    <w:next w:val="1"/>
    <w:qFormat/>
    <w:uiPriority w:val="0"/>
    <w:pPr>
      <w:widowControl/>
      <w:ind w:firstLine="482"/>
    </w:pPr>
    <w:rPr>
      <w:rFonts w:ascii="微软雅黑" w:hAnsi="微软雅黑" w:eastAsia="微软雅黑"/>
      <w:kern w:val="0"/>
    </w:rPr>
  </w:style>
  <w:style w:type="character" w:customStyle="1" w:styleId="240">
    <w:name w:val="font21"/>
    <w:qFormat/>
    <w:uiPriority w:val="0"/>
    <w:rPr>
      <w:rFonts w:hint="eastAsia" w:ascii="仿宋_GB2312" w:eastAsia="仿宋_GB2312"/>
      <w:color w:val="000000"/>
      <w:sz w:val="24"/>
      <w:szCs w:val="24"/>
      <w:u w:val="none"/>
    </w:rPr>
  </w:style>
  <w:style w:type="character" w:customStyle="1" w:styleId="241">
    <w:name w:val="尾注文本 字符"/>
    <w:basedOn w:val="62"/>
    <w:link w:val="37"/>
    <w:qFormat/>
    <w:uiPriority w:val="0"/>
    <w:rPr>
      <w:rFonts w:ascii="宋体"/>
      <w:position w:val="-6"/>
      <w:sz w:val="24"/>
    </w:rPr>
  </w:style>
  <w:style w:type="character" w:customStyle="1" w:styleId="242">
    <w:name w:val="正文文本首行缩进 2 字符"/>
    <w:basedOn w:val="95"/>
    <w:link w:val="59"/>
    <w:qFormat/>
    <w:uiPriority w:val="0"/>
    <w:rPr>
      <w:kern w:val="2"/>
      <w:position w:val="-6"/>
      <w:sz w:val="24"/>
      <w:szCs w:val="24"/>
    </w:rPr>
  </w:style>
  <w:style w:type="paragraph" w:customStyle="1" w:styleId="243">
    <w:name w:val="标准正文"/>
    <w:basedOn w:val="1"/>
    <w:qFormat/>
    <w:uiPriority w:val="0"/>
    <w:pPr>
      <w:spacing w:beforeLines="20"/>
      <w:ind w:firstLine="200" w:firstLineChars="200"/>
    </w:pPr>
    <w:rPr>
      <w:kern w:val="0"/>
      <w:position w:val="-6"/>
      <w:sz w:val="24"/>
    </w:rPr>
  </w:style>
  <w:style w:type="character" w:customStyle="1" w:styleId="244">
    <w:name w:val="正文1 Char Char"/>
    <w:qFormat/>
    <w:uiPriority w:val="0"/>
    <w:rPr>
      <w:rFonts w:ascii="宋体" w:eastAsia="宋体"/>
      <w:sz w:val="24"/>
      <w:lang w:val="en-US" w:eastAsia="zh-CN" w:bidi="ar-SA"/>
    </w:rPr>
  </w:style>
  <w:style w:type="character" w:customStyle="1" w:styleId="245">
    <w:name w:val="页眉 Char Char Char Char Char"/>
    <w:qFormat/>
    <w:uiPriority w:val="0"/>
    <w:rPr>
      <w:rFonts w:ascii="宋体"/>
      <w:sz w:val="18"/>
    </w:rPr>
  </w:style>
  <w:style w:type="character" w:customStyle="1" w:styleId="246">
    <w:name w:val="技术规范书正文 Char Char"/>
    <w:qFormat/>
    <w:uiPriority w:val="0"/>
    <w:rPr>
      <w:kern w:val="2"/>
      <w:sz w:val="24"/>
      <w:szCs w:val="24"/>
      <w:lang w:val="en-US" w:eastAsia="zh-CN" w:bidi="ar-SA"/>
    </w:rPr>
  </w:style>
  <w:style w:type="paragraph" w:customStyle="1" w:styleId="247">
    <w:name w:val="•"/>
    <w:basedOn w:val="18"/>
    <w:qFormat/>
    <w:uiPriority w:val="0"/>
    <w:pPr>
      <w:tabs>
        <w:tab w:val="left" w:pos="1320"/>
      </w:tabs>
      <w:snapToGrid w:val="0"/>
      <w:spacing w:before="120" w:after="120"/>
      <w:ind w:left="1320" w:hanging="420"/>
    </w:pPr>
    <w:rPr>
      <w:rFonts w:ascii="Times New Roman" w:hAnsi="Times New Roman" w:eastAsia="宋体"/>
      <w:snapToGrid w:val="0"/>
      <w:kern w:val="0"/>
      <w:sz w:val="24"/>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0">
    <w:name w:val="Plain Text1"/>
    <w:basedOn w:val="1"/>
    <w:qFormat/>
    <w:uiPriority w:val="0"/>
    <w:pPr>
      <w:overflowPunct w:val="0"/>
      <w:autoSpaceDE w:val="0"/>
      <w:autoSpaceDN w:val="0"/>
      <w:adjustRightInd w:val="0"/>
      <w:textAlignment w:val="baseline"/>
    </w:pPr>
    <w:rPr>
      <w:rFonts w:ascii="宋体"/>
      <w:kern w:val="0"/>
      <w:position w:val="-6"/>
      <w:sz w:val="28"/>
    </w:rPr>
  </w:style>
  <w:style w:type="paragraph" w:customStyle="1" w:styleId="25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position w:val="-6"/>
      <w:sz w:val="16"/>
      <w:szCs w:val="16"/>
    </w:rPr>
  </w:style>
  <w:style w:type="paragraph" w:customStyle="1" w:styleId="252">
    <w:name w:val="xl8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eastAsia="Arial Unicode MS"/>
      <w:color w:val="FF0000"/>
      <w:kern w:val="0"/>
      <w:position w:val="-6"/>
      <w:sz w:val="24"/>
    </w:rPr>
  </w:style>
  <w:style w:type="paragraph" w:customStyle="1" w:styleId="253">
    <w:name w:val="封面副标题"/>
    <w:basedOn w:val="131"/>
    <w:qFormat/>
    <w:uiPriority w:val="0"/>
    <w:pPr>
      <w:widowControl w:val="0"/>
      <w:jc w:val="center"/>
    </w:pPr>
    <w:rPr>
      <w:rFonts w:eastAsia="黑体"/>
      <w:sz w:val="50"/>
    </w:rPr>
  </w:style>
  <w:style w:type="paragraph" w:customStyle="1" w:styleId="25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position w:val="-6"/>
      <w:sz w:val="16"/>
      <w:szCs w:val="16"/>
    </w:rPr>
  </w:style>
  <w:style w:type="paragraph" w:customStyle="1" w:styleId="25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7">
    <w:name w:val="xl22"/>
    <w:basedOn w:val="1"/>
    <w:qFormat/>
    <w:uiPriority w:val="0"/>
    <w:pPr>
      <w:widowControl/>
      <w:pBdr>
        <w:bottom w:val="single" w:color="auto" w:sz="8" w:space="0"/>
        <w:right w:val="single" w:color="auto" w:sz="8" w:space="0"/>
      </w:pBdr>
      <w:spacing w:before="100" w:beforeAutospacing="1" w:after="100" w:afterAutospacing="1"/>
      <w:jc w:val="center"/>
    </w:pPr>
    <w:rPr>
      <w:rFonts w:ascii="黑体" w:hAnsi="宋体" w:eastAsia="黑体"/>
      <w:kern w:val="0"/>
      <w:position w:val="-6"/>
      <w:sz w:val="24"/>
      <w:szCs w:val="21"/>
    </w:rPr>
  </w:style>
  <w:style w:type="paragraph" w:customStyle="1" w:styleId="258">
    <w:name w:val="ccf"/>
    <w:basedOn w:val="1"/>
    <w:qFormat/>
    <w:uiPriority w:val="0"/>
    <w:pPr>
      <w:adjustRightInd w:val="0"/>
      <w:spacing w:line="312" w:lineRule="atLeast"/>
      <w:ind w:left="1191" w:hanging="1191"/>
      <w:textAlignment w:val="baseline"/>
    </w:pPr>
    <w:rPr>
      <w:kern w:val="0"/>
      <w:position w:val="-6"/>
      <w:sz w:val="26"/>
      <w:szCs w:val="26"/>
    </w:rPr>
  </w:style>
  <w:style w:type="paragraph" w:customStyle="1" w:styleId="25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60">
    <w:name w:val="标题2"/>
    <w:basedOn w:val="3"/>
    <w:qFormat/>
    <w:uiPriority w:val="0"/>
    <w:pPr>
      <w:keepLines w:val="0"/>
      <w:numPr>
        <w:ilvl w:val="0"/>
        <w:numId w:val="0"/>
      </w:numPr>
      <w:tabs>
        <w:tab w:val="left" w:pos="425"/>
      </w:tabs>
      <w:spacing w:before="0" w:after="0" w:line="360" w:lineRule="auto"/>
      <w:jc w:val="both"/>
    </w:pPr>
    <w:rPr>
      <w:rFonts w:ascii="Times New Roman" w:hAnsi="Times New Roman" w:eastAsia="宋体"/>
      <w:b w:val="0"/>
      <w:position w:val="-6"/>
      <w:sz w:val="24"/>
    </w:rPr>
  </w:style>
  <w:style w:type="paragraph" w:customStyle="1" w:styleId="261">
    <w:name w:val="杠"/>
    <w:basedOn w:val="18"/>
    <w:qFormat/>
    <w:uiPriority w:val="0"/>
    <w:pPr>
      <w:numPr>
        <w:ilvl w:val="0"/>
        <w:numId w:val="5"/>
      </w:numPr>
      <w:tabs>
        <w:tab w:val="left" w:pos="425"/>
      </w:tabs>
      <w:spacing w:before="120" w:line="300" w:lineRule="auto"/>
      <w:ind w:left="1559" w:hanging="425"/>
    </w:pPr>
    <w:rPr>
      <w:rFonts w:ascii="Arial" w:hAnsi="Arial" w:eastAsia="宋体"/>
      <w:kern w:val="2"/>
      <w:sz w:val="24"/>
    </w:rPr>
  </w:style>
  <w:style w:type="paragraph" w:customStyle="1" w:styleId="262">
    <w:name w:val="正文文本缩进 23"/>
    <w:basedOn w:val="1"/>
    <w:qFormat/>
    <w:uiPriority w:val="0"/>
    <w:pPr>
      <w:keepNext/>
      <w:adjustRightInd w:val="0"/>
      <w:spacing w:line="360" w:lineRule="auto"/>
      <w:ind w:left="425" w:hanging="5"/>
      <w:textAlignment w:val="baseline"/>
    </w:pPr>
    <w:rPr>
      <w:kern w:val="0"/>
      <w:position w:val="-6"/>
      <w:sz w:val="24"/>
    </w:rPr>
  </w:style>
  <w:style w:type="paragraph" w:customStyle="1" w:styleId="263">
    <w:name w:val="表格1"/>
    <w:basedOn w:val="1"/>
    <w:qFormat/>
    <w:uiPriority w:val="0"/>
    <w:pPr>
      <w:tabs>
        <w:tab w:val="left" w:pos="0"/>
      </w:tabs>
      <w:adjustRightInd w:val="0"/>
      <w:snapToGrid w:val="0"/>
      <w:spacing w:line="360" w:lineRule="atLeast"/>
      <w:jc w:val="center"/>
      <w:textAlignment w:val="baseline"/>
    </w:pPr>
    <w:rPr>
      <w:kern w:val="0"/>
      <w:position w:val="-6"/>
      <w:sz w:val="24"/>
    </w:rPr>
  </w:style>
  <w:style w:type="paragraph" w:customStyle="1" w:styleId="264">
    <w:name w:val="font1"/>
    <w:basedOn w:val="1"/>
    <w:qFormat/>
    <w:uiPriority w:val="0"/>
    <w:pPr>
      <w:widowControl/>
      <w:spacing w:before="100" w:beforeAutospacing="1" w:after="100" w:afterAutospacing="1"/>
      <w:jc w:val="left"/>
    </w:pPr>
    <w:rPr>
      <w:rFonts w:hint="eastAsia" w:ascii="宋体" w:hAnsi="宋体" w:cs="Arial Unicode MS"/>
      <w:kern w:val="0"/>
      <w:position w:val="-6"/>
      <w:sz w:val="24"/>
    </w:rPr>
  </w:style>
  <w:style w:type="paragraph" w:customStyle="1" w:styleId="26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66">
    <w:name w:val="日期3"/>
    <w:basedOn w:val="1"/>
    <w:next w:val="1"/>
    <w:qFormat/>
    <w:uiPriority w:val="0"/>
    <w:pPr>
      <w:adjustRightInd w:val="0"/>
    </w:pPr>
    <w:rPr>
      <w:kern w:val="0"/>
      <w:position w:val="-6"/>
      <w:sz w:val="28"/>
    </w:rPr>
  </w:style>
  <w:style w:type="paragraph" w:customStyle="1" w:styleId="26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68">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69">
    <w:name w:val="(1)"/>
    <w:basedOn w:val="1"/>
    <w:qFormat/>
    <w:uiPriority w:val="0"/>
    <w:pPr>
      <w:tabs>
        <w:tab w:val="left" w:pos="573"/>
      </w:tabs>
      <w:adjustRightInd w:val="0"/>
      <w:snapToGrid w:val="0"/>
      <w:spacing w:before="80" w:after="100" w:line="240" w:lineRule="atLeast"/>
      <w:textAlignment w:val="baseline"/>
    </w:pPr>
    <w:rPr>
      <w:rFonts w:ascii="Arial" w:hAnsi="Arial"/>
      <w:kern w:val="44"/>
      <w:position w:val="-6"/>
      <w:sz w:val="24"/>
    </w:rPr>
  </w:style>
  <w:style w:type="paragraph" w:customStyle="1" w:styleId="27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71">
    <w:name w:val="xl24"/>
    <w:basedOn w:val="1"/>
    <w:qFormat/>
    <w:uiPriority w:val="0"/>
    <w:pPr>
      <w:widowControl/>
      <w:spacing w:before="100" w:beforeAutospacing="1" w:after="100" w:afterAutospacing="1"/>
      <w:jc w:val="center"/>
    </w:pPr>
    <w:rPr>
      <w:rFonts w:ascii="宋体" w:hAnsi="宋体"/>
      <w:kern w:val="0"/>
      <w:position w:val="-6"/>
      <w:sz w:val="24"/>
    </w:rPr>
  </w:style>
  <w:style w:type="paragraph" w:customStyle="1" w:styleId="272">
    <w:name w:val="font8"/>
    <w:basedOn w:val="1"/>
    <w:qFormat/>
    <w:uiPriority w:val="0"/>
    <w:pPr>
      <w:widowControl/>
      <w:spacing w:before="100" w:beforeAutospacing="1" w:after="100" w:afterAutospacing="1"/>
      <w:jc w:val="left"/>
    </w:pPr>
    <w:rPr>
      <w:rFonts w:eastAsia="Arial Unicode MS"/>
      <w:kern w:val="0"/>
      <w:position w:val="-6"/>
      <w:sz w:val="16"/>
      <w:szCs w:val="16"/>
    </w:rPr>
  </w:style>
  <w:style w:type="paragraph" w:customStyle="1" w:styleId="273">
    <w:name w:val="技术规范书正文缩进"/>
    <w:basedOn w:val="131"/>
    <w:qFormat/>
    <w:uiPriority w:val="0"/>
    <w:pPr>
      <w:widowControl w:val="0"/>
      <w:ind w:firstLine="480" w:firstLineChars="200"/>
    </w:pPr>
    <w:rPr>
      <w:rFonts w:ascii="Arial" w:hAnsi="Arial" w:cs="Arial"/>
      <w:bCs/>
    </w:rPr>
  </w:style>
  <w:style w:type="paragraph" w:customStyle="1" w:styleId="274">
    <w:name w:val="ST20-3"/>
    <w:basedOn w:val="1"/>
    <w:qFormat/>
    <w:uiPriority w:val="0"/>
    <w:pPr>
      <w:tabs>
        <w:tab w:val="left" w:pos="680"/>
      </w:tabs>
      <w:spacing w:after="160" w:line="300" w:lineRule="auto"/>
      <w:ind w:left="794" w:hanging="170"/>
    </w:pPr>
    <w:rPr>
      <w:rFonts w:ascii="Arial" w:hAnsi="Arial"/>
      <w:kern w:val="0"/>
      <w:position w:val="-6"/>
      <w:sz w:val="24"/>
    </w:rPr>
  </w:style>
  <w:style w:type="paragraph" w:customStyle="1" w:styleId="275">
    <w:name w:val="正文3"/>
    <w:qFormat/>
    <w:uiPriority w:val="0"/>
    <w:pPr>
      <w:numPr>
        <w:ilvl w:val="0"/>
        <w:numId w:val="6"/>
      </w:numPr>
      <w:tabs>
        <w:tab w:val="left" w:pos="1834"/>
      </w:tabs>
      <w:spacing w:line="360" w:lineRule="auto"/>
      <w:ind w:left="1758" w:hanging="284"/>
    </w:pPr>
    <w:rPr>
      <w:rFonts w:ascii="Times New Roman" w:hAnsi="Times New Roman" w:eastAsia="宋体" w:cs="Times New Roman"/>
      <w:sz w:val="24"/>
      <w:lang w:val="en-US" w:eastAsia="zh-CN" w:bidi="ar-SA"/>
    </w:rPr>
  </w:style>
  <w:style w:type="paragraph" w:customStyle="1" w:styleId="2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77">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eastAsia="Arial Unicode MS"/>
      <w:kern w:val="0"/>
      <w:position w:val="-6"/>
      <w:sz w:val="16"/>
      <w:szCs w:val="16"/>
    </w:rPr>
  </w:style>
  <w:style w:type="paragraph" w:customStyle="1" w:styleId="27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79">
    <w:name w:val="样式 标题3 + 行距: 1.5 倍行距"/>
    <w:basedOn w:val="280"/>
    <w:qFormat/>
    <w:uiPriority w:val="0"/>
    <w:pPr>
      <w:keepNext w:val="0"/>
      <w:numPr>
        <w:numId w:val="0"/>
      </w:numPr>
      <w:tabs>
        <w:tab w:val="left" w:pos="495"/>
        <w:tab w:val="left" w:pos="720"/>
        <w:tab w:val="left" w:pos="851"/>
      </w:tabs>
    </w:pPr>
    <w:rPr>
      <w:rFonts w:ascii="宋体" w:hAnsi="宋体"/>
      <w:b/>
      <w:kern w:val="2"/>
    </w:rPr>
  </w:style>
  <w:style w:type="paragraph" w:customStyle="1" w:styleId="280">
    <w:name w:val="标题3"/>
    <w:basedOn w:val="5"/>
    <w:qFormat/>
    <w:uiPriority w:val="0"/>
    <w:pPr>
      <w:keepLines w:val="0"/>
      <w:numPr>
        <w:numId w:val="4"/>
      </w:numPr>
      <w:tabs>
        <w:tab w:val="left" w:pos="495"/>
        <w:tab w:val="left" w:pos="851"/>
      </w:tabs>
      <w:spacing w:before="0" w:after="0" w:line="360" w:lineRule="auto"/>
      <w:jc w:val="both"/>
    </w:pPr>
    <w:rPr>
      <w:b w:val="0"/>
      <w:position w:val="-6"/>
      <w:sz w:val="24"/>
    </w:rPr>
  </w:style>
  <w:style w:type="paragraph" w:customStyle="1" w:styleId="281">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eastAsia="Arial Unicode MS"/>
      <w:kern w:val="0"/>
      <w:position w:val="-6"/>
      <w:sz w:val="16"/>
      <w:szCs w:val="16"/>
    </w:rPr>
  </w:style>
  <w:style w:type="paragraph" w:customStyle="1" w:styleId="28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3">
    <w:name w:val="标准"/>
    <w:basedOn w:val="1"/>
    <w:qFormat/>
    <w:uiPriority w:val="0"/>
    <w:pPr>
      <w:autoSpaceDE w:val="0"/>
      <w:autoSpaceDN w:val="0"/>
      <w:adjustRightInd w:val="0"/>
      <w:spacing w:line="312" w:lineRule="atLeast"/>
      <w:ind w:firstLine="600"/>
      <w:jc w:val="center"/>
      <w:textAlignment w:val="baseline"/>
    </w:pPr>
    <w:rPr>
      <w:rFonts w:ascii="黑体" w:hAnsi="Tms Rmn" w:eastAsia="黑体"/>
      <w:kern w:val="0"/>
      <w:position w:val="-6"/>
      <w:sz w:val="28"/>
    </w:rPr>
  </w:style>
  <w:style w:type="paragraph" w:customStyle="1" w:styleId="2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5">
    <w:name w:val="Char2"/>
    <w:basedOn w:val="1"/>
    <w:qFormat/>
    <w:uiPriority w:val="0"/>
    <w:rPr>
      <w:kern w:val="0"/>
      <w:position w:val="-6"/>
      <w:sz w:val="24"/>
    </w:rPr>
  </w:style>
  <w:style w:type="paragraph" w:customStyle="1" w:styleId="2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position w:val="-6"/>
      <w:sz w:val="24"/>
    </w:rPr>
  </w:style>
  <w:style w:type="paragraph" w:customStyle="1" w:styleId="288">
    <w:name w:val="招标编号"/>
    <w:qFormat/>
    <w:uiPriority w:val="0"/>
    <w:pPr>
      <w:jc w:val="right"/>
    </w:pPr>
    <w:rPr>
      <w:rFonts w:ascii="Times New Roman" w:hAnsi="Times New Roman" w:eastAsia="宋体" w:cs="Times New Roman"/>
      <w:sz w:val="28"/>
      <w:lang w:val="en-US" w:eastAsia="zh-CN" w:bidi="ar-SA"/>
    </w:rPr>
  </w:style>
  <w:style w:type="paragraph" w:customStyle="1" w:styleId="28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90">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92">
    <w:name w:val="ST20-2"/>
    <w:basedOn w:val="1"/>
    <w:qFormat/>
    <w:uiPriority w:val="0"/>
    <w:pPr>
      <w:tabs>
        <w:tab w:val="left" w:pos="567"/>
      </w:tabs>
      <w:adjustRightInd w:val="0"/>
      <w:spacing w:after="120" w:line="300" w:lineRule="auto"/>
      <w:ind w:left="1247" w:hanging="680"/>
    </w:pPr>
    <w:rPr>
      <w:rFonts w:ascii="宋体" w:hAnsi="Arial"/>
      <w:kern w:val="0"/>
      <w:position w:val="-6"/>
      <w:sz w:val="24"/>
    </w:rPr>
  </w:style>
  <w:style w:type="paragraph" w:customStyle="1" w:styleId="293">
    <w:name w:val="Char Char Char Char Char Char Char2"/>
    <w:basedOn w:val="1"/>
    <w:qFormat/>
    <w:uiPriority w:val="0"/>
    <w:rPr>
      <w:kern w:val="0"/>
      <w:position w:val="-6"/>
      <w:sz w:val="24"/>
    </w:rPr>
  </w:style>
  <w:style w:type="paragraph" w:customStyle="1" w:styleId="294">
    <w:name w:val="Betreff"/>
    <w:basedOn w:val="1"/>
    <w:qFormat/>
    <w:uiPriority w:val="0"/>
    <w:pPr>
      <w:widowControl/>
      <w:tabs>
        <w:tab w:val="left" w:pos="5670"/>
        <w:tab w:val="left" w:pos="7938"/>
      </w:tabs>
      <w:spacing w:before="1200"/>
      <w:jc w:val="left"/>
    </w:pPr>
    <w:rPr>
      <w:rFonts w:ascii="Arial" w:hAnsi="Arial"/>
      <w:kern w:val="0"/>
      <w:position w:val="-6"/>
      <w:sz w:val="22"/>
      <w:lang w:val="de-DE"/>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6">
    <w:name w:val="ST20_1"/>
    <w:basedOn w:val="1"/>
    <w:next w:val="1"/>
    <w:qFormat/>
    <w:uiPriority w:val="0"/>
    <w:pPr>
      <w:keepNext/>
      <w:keepLines/>
      <w:numPr>
        <w:ilvl w:val="0"/>
        <w:numId w:val="7"/>
      </w:numPr>
      <w:tabs>
        <w:tab w:val="left" w:pos="907"/>
        <w:tab w:val="right" w:leader="dot" w:pos="8400"/>
      </w:tabs>
      <w:spacing w:before="120" w:after="120" w:line="300" w:lineRule="auto"/>
      <w:ind w:left="907" w:hanging="510"/>
      <w:jc w:val="left"/>
    </w:pPr>
    <w:rPr>
      <w:rFonts w:ascii="Arial" w:hAnsi="Arial"/>
      <w:kern w:val="0"/>
      <w:position w:val="-6"/>
      <w:sz w:val="24"/>
    </w:rPr>
  </w:style>
  <w:style w:type="paragraph" w:customStyle="1" w:styleId="2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8">
    <w:name w:val="xl2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position w:val="-6"/>
      <w:sz w:val="24"/>
      <w:szCs w:val="21"/>
    </w:rPr>
  </w:style>
  <w:style w:type="paragraph" w:customStyle="1" w:styleId="299">
    <w:name w:val="正文4"/>
    <w:qFormat/>
    <w:uiPriority w:val="0"/>
    <w:pPr>
      <w:widowControl w:val="0"/>
      <w:autoSpaceDE w:val="0"/>
      <w:autoSpaceDN w:val="0"/>
      <w:adjustRightInd w:val="0"/>
      <w:spacing w:line="360" w:lineRule="atLeast"/>
      <w:ind w:right="104"/>
      <w:jc w:val="both"/>
      <w:textAlignment w:val="bottom"/>
    </w:pPr>
    <w:rPr>
      <w:rFonts w:ascii="Times New Roman" w:hAnsi="Times New Roman" w:eastAsia="宋体" w:cs="Times New Roman"/>
      <w:position w:val="-6"/>
      <w:sz w:val="24"/>
      <w:lang w:val="en-US" w:eastAsia="zh-CN" w:bidi="ar-SA"/>
    </w:rPr>
  </w:style>
  <w:style w:type="paragraph" w:customStyle="1" w:styleId="300">
    <w:name w:val="Table Text"/>
    <w:basedOn w:val="1"/>
    <w:semiHidden/>
    <w:qFormat/>
    <w:uiPriority w:val="0"/>
    <w:rPr>
      <w:rFonts w:ascii="宋体" w:hAnsi="宋体" w:cs="宋体"/>
      <w:kern w:val="0"/>
      <w:position w:val="-6"/>
      <w:sz w:val="24"/>
      <w:szCs w:val="24"/>
      <w:lang w:eastAsia="en-US"/>
    </w:rPr>
  </w:style>
  <w:style w:type="table" w:customStyle="1" w:styleId="301">
    <w:name w:val="Table Normal"/>
    <w:unhideWhenUsed/>
    <w:qFormat/>
    <w:uiPriority w:val="0"/>
    <w:tblPr>
      <w:tblCellMar>
        <w:top w:w="0" w:type="dxa"/>
        <w:left w:w="0" w:type="dxa"/>
        <w:bottom w:w="0" w:type="dxa"/>
        <w:right w:w="0" w:type="dxa"/>
      </w:tblCellMar>
    </w:tblPr>
  </w:style>
  <w:style w:type="character" w:customStyle="1" w:styleId="302">
    <w:name w:val="页码1"/>
    <w:qFormat/>
    <w:uiPriority w:val="0"/>
  </w:style>
  <w:style w:type="paragraph" w:customStyle="1" w:styleId="303">
    <w:name w:val="_Style 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4">
    <w:name w:val="表格文字2"/>
    <w:basedOn w:val="1"/>
    <w:qFormat/>
    <w:uiPriority w:val="0"/>
    <w:pPr>
      <w:jc w:val="left"/>
    </w:pPr>
    <w:rPr>
      <w:bCs/>
      <w:spacing w:val="10"/>
      <w:kern w:val="0"/>
      <w:szCs w:val="24"/>
    </w:rPr>
  </w:style>
  <w:style w:type="character" w:customStyle="1" w:styleId="305">
    <w:name w:val="font41"/>
    <w:qFormat/>
    <w:uiPriority w:val="0"/>
    <w:rPr>
      <w:rFonts w:hint="eastAsia" w:ascii="宋体" w:hAnsi="宋体" w:eastAsia="宋体" w:cs="宋体"/>
      <w:color w:val="000000"/>
      <w:sz w:val="21"/>
      <w:szCs w:val="21"/>
      <w:u w:val="none"/>
    </w:rPr>
  </w:style>
  <w:style w:type="paragraph" w:customStyle="1" w:styleId="306">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paragraph" w:customStyle="1" w:styleId="307">
    <w:name w:val="Table Paragraph"/>
    <w:basedOn w:val="1"/>
    <w:qFormat/>
    <w:uiPriority w:val="1"/>
    <w:rPr>
      <w:rFonts w:ascii="宋体" w:hAnsi="宋体" w:eastAsia="宋体" w:cs="宋体"/>
      <w:lang w:val="zh-CN" w:eastAsia="zh-CN" w:bidi="zh-CN"/>
    </w:rPr>
  </w:style>
  <w:style w:type="paragraph" w:customStyle="1" w:styleId="308">
    <w:name w:val="WPSOffice手动目录 2"/>
    <w:qFormat/>
    <w:uiPriority w:val="0"/>
    <w:pPr>
      <w:ind w:leftChars="200"/>
    </w:pPr>
    <w:rPr>
      <w:rFonts w:ascii="Calibri" w:hAnsi="Calibri" w:eastAsia="宋体" w:cs="Times New Roman"/>
      <w:sz w:val="20"/>
      <w:szCs w:val="20"/>
    </w:rPr>
  </w:style>
  <w:style w:type="paragraph" w:customStyle="1" w:styleId="309">
    <w:name w:val="1234"/>
    <w:basedOn w:val="1"/>
    <w:qFormat/>
    <w:uiPriority w:val="0"/>
    <w:pPr>
      <w:spacing w:line="360" w:lineRule="exact"/>
      <w:ind w:firstLine="200" w:firstLineChars="200"/>
    </w:pPr>
    <w:rPr>
      <w:rFonts w:ascii="宋体" w:hAnsi="新宋体"/>
      <w:bCs/>
    </w:rPr>
  </w:style>
  <w:style w:type="paragraph" w:customStyle="1" w:styleId="310">
    <w:name w:val="msonospacing"/>
    <w:basedOn w:val="1"/>
    <w:qFormat/>
    <w:uiPriority w:val="0"/>
    <w:rPr>
      <w:rFonts w:ascii="Times New Roman" w:hAnsi="Times New Roman"/>
    </w:rPr>
  </w:style>
  <w:style w:type="paragraph" w:customStyle="1" w:styleId="311">
    <w:name w:val="02 缩进"/>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0F205-E6C5-4BF7-AF5E-2578E84F4F02}">
  <ds:schemaRefs/>
</ds:datastoreItem>
</file>

<file path=docProps/app.xml><?xml version="1.0" encoding="utf-8"?>
<Properties xmlns="http://schemas.openxmlformats.org/officeDocument/2006/extended-properties" xmlns:vt="http://schemas.openxmlformats.org/officeDocument/2006/docPropsVTypes">
  <Template>Normal</Template>
  <Pages>46</Pages>
  <Words>6849</Words>
  <Characters>7270</Characters>
  <Lines>97</Lines>
  <Paragraphs>27</Paragraphs>
  <TotalTime>12</TotalTime>
  <ScaleCrop>false</ScaleCrop>
  <LinksUpToDate>false</LinksUpToDate>
  <CharactersWithSpaces>8113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2024-11-22T00:42:00Z</cp:lastPrinted>
  <dcterms:modified xsi:type="dcterms:W3CDTF">2026-04-20T02:00:32Z</dcterms:modified>
  <dc:title>一、标书制作要求：</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845D1CFFC95747C2B9399FE6602AD881_13</vt:lpwstr>
  </property>
</Properties>
</file>