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437B3A">
      <w:pPr>
        <w:spacing w:line="500" w:lineRule="exact"/>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44"/>
          <w:szCs w:val="44"/>
        </w:rPr>
        <w:t>招标文件</w:t>
      </w:r>
    </w:p>
    <w:p w14:paraId="6BDB4226">
      <w:pPr>
        <w:spacing w:line="500" w:lineRule="exact"/>
        <w:jc w:val="left"/>
        <w:rPr>
          <w:rFonts w:hint="eastAsia" w:ascii="仿宋" w:hAnsi="仿宋" w:eastAsia="仿宋"/>
          <w:sz w:val="28"/>
          <w:szCs w:val="28"/>
        </w:rPr>
      </w:pPr>
      <w:r>
        <w:rPr>
          <w:rFonts w:hint="eastAsia" w:ascii="仿宋" w:hAnsi="仿宋" w:eastAsia="仿宋"/>
          <w:sz w:val="28"/>
          <w:szCs w:val="28"/>
        </w:rPr>
        <w:t>各相关单位：</w:t>
      </w:r>
    </w:p>
    <w:p w14:paraId="5585A317">
      <w:pPr>
        <w:widowControl/>
        <w:autoSpaceDE w:val="0"/>
        <w:autoSpaceDN w:val="0"/>
        <w:spacing w:line="360" w:lineRule="auto"/>
        <w:ind w:firstLine="560" w:firstLineChars="200"/>
        <w:jc w:val="both"/>
        <w:rPr>
          <w:rFonts w:hint="eastAsia" w:ascii="仿宋" w:hAnsi="仿宋" w:eastAsia="仿宋"/>
          <w:color w:val="auto"/>
          <w:sz w:val="28"/>
          <w:szCs w:val="28"/>
        </w:rPr>
      </w:pPr>
      <w:r>
        <w:rPr>
          <w:rFonts w:hint="eastAsia" w:ascii="仿宋" w:hAnsi="仿宋" w:eastAsia="仿宋"/>
          <w:sz w:val="28"/>
          <w:szCs w:val="28"/>
        </w:rPr>
        <w:t>万基控股集团有限公司招标办公室拟对</w:t>
      </w:r>
      <w:r>
        <w:rPr>
          <w:rFonts w:hint="default" w:ascii="仿宋" w:hAnsi="仿宋" w:eastAsia="仿宋"/>
          <w:sz w:val="28"/>
          <w:szCs w:val="28"/>
          <w:lang w:val="en-US" w:eastAsia="zh-CN"/>
        </w:rPr>
        <w:t>河南万基</w:t>
      </w:r>
      <w:r>
        <w:rPr>
          <w:rFonts w:hint="eastAsia" w:ascii="仿宋" w:hAnsi="仿宋" w:eastAsia="仿宋"/>
          <w:sz w:val="28"/>
          <w:szCs w:val="28"/>
          <w:lang w:val="en-US" w:eastAsia="zh-CN"/>
        </w:rPr>
        <w:t>新型建材有限</w:t>
      </w:r>
      <w:r>
        <w:rPr>
          <w:rFonts w:hint="default" w:ascii="仿宋" w:hAnsi="仿宋" w:eastAsia="仿宋"/>
          <w:sz w:val="28"/>
          <w:szCs w:val="28"/>
          <w:lang w:val="en-US" w:eastAsia="zh-CN"/>
        </w:rPr>
        <w:t>公司2x100万方粉煤灰蒸压加气混凝土砌块（含板材）生产线</w:t>
      </w:r>
      <w:r>
        <w:rPr>
          <w:rFonts w:hint="eastAsia" w:ascii="仿宋" w:hAnsi="仿宋" w:eastAsia="仿宋"/>
          <w:sz w:val="28"/>
          <w:szCs w:val="28"/>
          <w:lang w:val="en-US" w:eastAsia="zh-CN"/>
        </w:rPr>
        <w:t>的废砖处理设备项目</w:t>
      </w:r>
      <w:r>
        <w:rPr>
          <w:rFonts w:hint="eastAsia" w:ascii="仿宋" w:hAnsi="仿宋" w:eastAsia="仿宋"/>
          <w:sz w:val="28"/>
          <w:szCs w:val="28"/>
        </w:rPr>
        <w:t>进行招标【招标编号：WJWZ-(2026)05010】，有意参标</w:t>
      </w:r>
      <w:r>
        <w:rPr>
          <w:rFonts w:hint="eastAsia" w:ascii="仿宋" w:hAnsi="仿宋" w:eastAsia="仿宋"/>
          <w:color w:val="auto"/>
          <w:sz w:val="28"/>
          <w:szCs w:val="28"/>
        </w:rPr>
        <w:t>单位请在</w:t>
      </w:r>
      <w:r>
        <w:rPr>
          <w:rFonts w:hint="eastAsia" w:ascii="仿宋" w:hAnsi="仿宋" w:eastAsia="仿宋"/>
          <w:b/>
          <w:bCs/>
          <w:color w:val="auto"/>
          <w:sz w:val="28"/>
          <w:szCs w:val="28"/>
        </w:rPr>
        <w:t>202</w:t>
      </w:r>
      <w:r>
        <w:rPr>
          <w:rFonts w:hint="eastAsia" w:ascii="仿宋" w:hAnsi="仿宋" w:eastAsia="仿宋"/>
          <w:b/>
          <w:bCs/>
          <w:color w:val="auto"/>
          <w:sz w:val="28"/>
          <w:szCs w:val="28"/>
          <w:lang w:val="en-US" w:eastAsia="zh-CN"/>
        </w:rPr>
        <w:t>6</w:t>
      </w:r>
      <w:r>
        <w:rPr>
          <w:rFonts w:hint="eastAsia" w:ascii="仿宋" w:hAnsi="仿宋" w:eastAsia="仿宋"/>
          <w:b/>
          <w:bCs/>
          <w:color w:val="auto"/>
          <w:sz w:val="28"/>
          <w:szCs w:val="28"/>
        </w:rPr>
        <w:t>年</w:t>
      </w:r>
      <w:r>
        <w:rPr>
          <w:rFonts w:hint="eastAsia" w:ascii="仿宋" w:hAnsi="仿宋" w:eastAsia="仿宋"/>
          <w:b/>
          <w:bCs/>
          <w:color w:val="auto"/>
          <w:sz w:val="28"/>
          <w:szCs w:val="28"/>
          <w:lang w:val="en-US" w:eastAsia="zh-CN"/>
        </w:rPr>
        <w:t>5</w:t>
      </w:r>
      <w:r>
        <w:rPr>
          <w:rFonts w:hint="eastAsia" w:ascii="仿宋" w:hAnsi="仿宋" w:eastAsia="仿宋"/>
          <w:b/>
          <w:bCs/>
          <w:color w:val="auto"/>
          <w:sz w:val="28"/>
          <w:szCs w:val="28"/>
        </w:rPr>
        <w:t>月</w:t>
      </w:r>
      <w:r>
        <w:rPr>
          <w:rFonts w:hint="eastAsia" w:ascii="仿宋" w:hAnsi="仿宋" w:eastAsia="仿宋"/>
          <w:b/>
          <w:bCs/>
          <w:color w:val="auto"/>
          <w:sz w:val="28"/>
          <w:szCs w:val="28"/>
          <w:lang w:val="en-US" w:eastAsia="zh-CN"/>
        </w:rPr>
        <w:t>27</w:t>
      </w:r>
      <w:r>
        <w:rPr>
          <w:rFonts w:hint="eastAsia" w:ascii="仿宋" w:hAnsi="仿宋" w:eastAsia="仿宋"/>
          <w:b/>
          <w:bCs/>
          <w:color w:val="auto"/>
          <w:sz w:val="28"/>
          <w:szCs w:val="28"/>
        </w:rPr>
        <w:t>日</w:t>
      </w:r>
      <w:r>
        <w:rPr>
          <w:rFonts w:hint="eastAsia" w:ascii="仿宋" w:hAnsi="仿宋" w:eastAsia="仿宋"/>
          <w:b/>
          <w:bCs/>
          <w:color w:val="auto"/>
          <w:sz w:val="28"/>
          <w:szCs w:val="28"/>
          <w:lang w:val="en-US" w:eastAsia="zh-CN"/>
        </w:rPr>
        <w:t>下午5时</w:t>
      </w:r>
      <w:r>
        <w:rPr>
          <w:rFonts w:hint="eastAsia" w:ascii="仿宋" w:hAnsi="仿宋" w:eastAsia="仿宋"/>
          <w:b/>
          <w:bCs/>
          <w:color w:val="auto"/>
          <w:sz w:val="28"/>
          <w:szCs w:val="28"/>
        </w:rPr>
        <w:t>前</w:t>
      </w:r>
      <w:r>
        <w:rPr>
          <w:rFonts w:hint="eastAsia" w:ascii="仿宋" w:hAnsi="仿宋" w:eastAsia="仿宋"/>
          <w:color w:val="auto"/>
          <w:sz w:val="28"/>
          <w:szCs w:val="28"/>
        </w:rPr>
        <w:t>通过电话或邮件通知招标联系人报名登记，并按招标人要求的时间缴纳投标保证金。</w:t>
      </w:r>
      <w:r>
        <w:rPr>
          <w:rFonts w:hint="eastAsia" w:ascii="仿宋" w:hAnsi="仿宋" w:eastAsia="仿宋"/>
          <w:b/>
          <w:color w:val="auto"/>
          <w:sz w:val="28"/>
          <w:szCs w:val="28"/>
        </w:rPr>
        <w:t xml:space="preserve">不接受未通过资质预审、未按时缴纳投标保证金单位的投标文件。 </w:t>
      </w:r>
    </w:p>
    <w:p w14:paraId="02CE89CB">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 xml:space="preserve">投标人在本次投标中若发现违规违纪问题可直接向招标单位纪委举报，举报电话：0379-67333039。 </w:t>
      </w:r>
    </w:p>
    <w:p w14:paraId="4888DB74">
      <w:pPr>
        <w:autoSpaceDE w:val="0"/>
        <w:autoSpaceDN w:val="0"/>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开标时间：</w:t>
      </w:r>
      <w:r>
        <w:rPr>
          <w:rFonts w:hint="eastAsia" w:ascii="仿宋" w:hAnsi="仿宋" w:eastAsia="仿宋"/>
          <w:b/>
          <w:color w:val="auto"/>
          <w:sz w:val="28"/>
          <w:szCs w:val="28"/>
        </w:rPr>
        <w:t>202</w:t>
      </w:r>
      <w:r>
        <w:rPr>
          <w:rFonts w:hint="eastAsia" w:ascii="仿宋" w:hAnsi="仿宋" w:eastAsia="仿宋"/>
          <w:b/>
          <w:color w:val="auto"/>
          <w:sz w:val="28"/>
          <w:szCs w:val="28"/>
          <w:lang w:val="en-US" w:eastAsia="zh-CN"/>
        </w:rPr>
        <w:t>6</w:t>
      </w:r>
      <w:r>
        <w:rPr>
          <w:rFonts w:hint="eastAsia" w:ascii="仿宋" w:hAnsi="仿宋" w:eastAsia="仿宋"/>
          <w:b/>
          <w:color w:val="auto"/>
          <w:sz w:val="28"/>
          <w:szCs w:val="28"/>
        </w:rPr>
        <w:t>年</w:t>
      </w:r>
      <w:r>
        <w:rPr>
          <w:rFonts w:hint="eastAsia" w:ascii="仿宋" w:hAnsi="仿宋" w:eastAsia="仿宋"/>
          <w:b/>
          <w:color w:val="auto"/>
          <w:sz w:val="28"/>
          <w:szCs w:val="28"/>
          <w:lang w:val="en-US" w:eastAsia="zh-CN"/>
        </w:rPr>
        <w:t>5</w:t>
      </w:r>
      <w:r>
        <w:rPr>
          <w:rFonts w:hint="eastAsia" w:ascii="仿宋" w:hAnsi="仿宋" w:eastAsia="仿宋"/>
          <w:b/>
          <w:color w:val="auto"/>
          <w:sz w:val="28"/>
          <w:szCs w:val="28"/>
        </w:rPr>
        <w:t>月</w:t>
      </w:r>
      <w:r>
        <w:rPr>
          <w:rFonts w:hint="eastAsia" w:ascii="仿宋" w:hAnsi="仿宋" w:eastAsia="仿宋"/>
          <w:b/>
          <w:color w:val="auto"/>
          <w:sz w:val="28"/>
          <w:szCs w:val="28"/>
          <w:lang w:val="en-US" w:eastAsia="zh-CN"/>
        </w:rPr>
        <w:t>28</w:t>
      </w:r>
      <w:r>
        <w:rPr>
          <w:rFonts w:hint="eastAsia" w:ascii="仿宋" w:hAnsi="仿宋" w:eastAsia="仿宋"/>
          <w:b/>
          <w:color w:val="auto"/>
          <w:sz w:val="28"/>
          <w:szCs w:val="28"/>
        </w:rPr>
        <w:t>日</w:t>
      </w:r>
      <w:r>
        <w:rPr>
          <w:rFonts w:hint="eastAsia" w:ascii="仿宋" w:hAnsi="仿宋" w:eastAsia="仿宋"/>
          <w:b/>
          <w:color w:val="auto"/>
          <w:sz w:val="28"/>
          <w:szCs w:val="28"/>
          <w:lang w:val="en-US" w:eastAsia="zh-CN"/>
        </w:rPr>
        <w:t>上午10时</w:t>
      </w:r>
      <w:r>
        <w:rPr>
          <w:rFonts w:hint="eastAsia" w:ascii="仿宋" w:hAnsi="仿宋" w:eastAsia="仿宋"/>
          <w:b/>
          <w:color w:val="auto"/>
          <w:sz w:val="28"/>
          <w:szCs w:val="28"/>
        </w:rPr>
        <w:t>（北京时间</w:t>
      </w:r>
      <w:r>
        <w:rPr>
          <w:rFonts w:hint="eastAsia" w:ascii="仿宋" w:hAnsi="仿宋" w:eastAsia="仿宋"/>
          <w:color w:val="auto"/>
          <w:sz w:val="28"/>
          <w:szCs w:val="28"/>
        </w:rPr>
        <w:t>）</w:t>
      </w:r>
    </w:p>
    <w:p w14:paraId="4557DF83">
      <w:pPr>
        <w:spacing w:line="4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开标地点：洛阳市新安县产业集聚区万基大厦四楼开标室</w:t>
      </w:r>
      <w:r>
        <w:rPr>
          <w:rFonts w:hint="eastAsia" w:ascii="仿宋" w:hAnsi="仿宋" w:eastAsia="仿宋"/>
          <w:color w:val="auto"/>
          <w:sz w:val="28"/>
          <w:szCs w:val="28"/>
          <w:lang w:eastAsia="zh-CN"/>
        </w:rPr>
        <w:t>。</w:t>
      </w:r>
    </w:p>
    <w:p w14:paraId="5726846C">
      <w:pPr>
        <w:spacing w:line="460" w:lineRule="exact"/>
        <w:ind w:firstLine="560" w:firstLineChars="200"/>
        <w:rPr>
          <w:rFonts w:hint="default" w:ascii="仿宋" w:hAnsi="仿宋" w:eastAsia="仿宋"/>
          <w:color w:val="auto"/>
          <w:sz w:val="28"/>
          <w:szCs w:val="28"/>
          <w:lang w:val="en-US" w:eastAsia="zh-CN"/>
        </w:rPr>
      </w:pPr>
      <w:r>
        <w:rPr>
          <w:rFonts w:hint="eastAsia" w:ascii="仿宋" w:hAnsi="仿宋" w:eastAsia="仿宋" w:cs="仿宋_GB2312"/>
          <w:color w:val="auto"/>
          <w:sz w:val="28"/>
          <w:szCs w:val="28"/>
        </w:rPr>
        <w:t>资质审验及报名截止时间：</w:t>
      </w:r>
      <w:r>
        <w:rPr>
          <w:rFonts w:hint="eastAsia" w:ascii="仿宋" w:hAnsi="仿宋" w:eastAsia="仿宋" w:cs="仿宋_GB2312"/>
          <w:b/>
          <w:color w:val="auto"/>
          <w:sz w:val="28"/>
          <w:szCs w:val="28"/>
        </w:rPr>
        <w:t>202</w:t>
      </w:r>
      <w:r>
        <w:rPr>
          <w:rFonts w:hint="eastAsia" w:ascii="仿宋" w:hAnsi="仿宋" w:eastAsia="仿宋" w:cs="仿宋_GB2312"/>
          <w:b/>
          <w:color w:val="auto"/>
          <w:sz w:val="28"/>
          <w:szCs w:val="28"/>
          <w:lang w:val="en-US" w:eastAsia="zh-CN"/>
        </w:rPr>
        <w:t>6</w:t>
      </w:r>
      <w:r>
        <w:rPr>
          <w:rFonts w:hint="eastAsia" w:ascii="仿宋" w:hAnsi="仿宋" w:eastAsia="仿宋" w:cs="仿宋_GB2312"/>
          <w:b/>
          <w:color w:val="auto"/>
          <w:sz w:val="28"/>
          <w:szCs w:val="28"/>
        </w:rPr>
        <w:t>年</w:t>
      </w:r>
      <w:r>
        <w:rPr>
          <w:rFonts w:hint="eastAsia" w:ascii="仿宋" w:hAnsi="仿宋" w:eastAsia="仿宋" w:cs="仿宋_GB2312"/>
          <w:b/>
          <w:color w:val="auto"/>
          <w:sz w:val="28"/>
          <w:szCs w:val="28"/>
          <w:lang w:val="en-US" w:eastAsia="zh-CN"/>
        </w:rPr>
        <w:t>5月27日下午5时前。</w:t>
      </w:r>
    </w:p>
    <w:p w14:paraId="7BB30949">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招标：</w:t>
      </w:r>
      <w:r>
        <w:rPr>
          <w:rFonts w:hint="eastAsia" w:ascii="仿宋" w:hAnsi="仿宋" w:eastAsia="仿宋"/>
          <w:color w:val="auto"/>
          <w:sz w:val="28"/>
          <w:szCs w:val="28"/>
          <w:lang w:val="en-US" w:eastAsia="zh-CN"/>
        </w:rPr>
        <w:t>李煜</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139 3993 0992</w:t>
      </w:r>
      <w:r>
        <w:rPr>
          <w:rFonts w:ascii="仿宋" w:hAnsi="仿宋" w:eastAsia="仿宋"/>
          <w:color w:val="auto"/>
          <w:sz w:val="28"/>
          <w:szCs w:val="28"/>
        </w:rPr>
        <w:t xml:space="preserve">  </w:t>
      </w:r>
      <w:r>
        <w:rPr>
          <w:rFonts w:hint="eastAsia" w:ascii="仿宋" w:hAnsi="仿宋" w:eastAsia="仿宋"/>
          <w:color w:val="auto"/>
          <w:sz w:val="28"/>
          <w:szCs w:val="28"/>
        </w:rPr>
        <w:t>技术：</w:t>
      </w:r>
      <w:r>
        <w:rPr>
          <w:rFonts w:hint="eastAsia" w:ascii="仿宋" w:hAnsi="仿宋" w:eastAsia="仿宋"/>
          <w:color w:val="auto"/>
          <w:sz w:val="28"/>
          <w:szCs w:val="28"/>
          <w:lang w:val="en-US" w:eastAsia="zh-CN"/>
        </w:rPr>
        <w:t>袁豪</w:t>
      </w:r>
      <w:r>
        <w:rPr>
          <w:rFonts w:hint="eastAsia" w:ascii="仿宋" w:hAnsi="仿宋" w:eastAsia="仿宋"/>
          <w:color w:val="auto"/>
          <w:sz w:val="28"/>
          <w:szCs w:val="28"/>
        </w:rPr>
        <w:t xml:space="preserve"> 158</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9655</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3980</w:t>
      </w:r>
    </w:p>
    <w:p w14:paraId="1E781E7F">
      <w:pPr>
        <w:spacing w:line="500" w:lineRule="exact"/>
        <w:rPr>
          <w:rFonts w:hint="eastAsia" w:ascii="仿宋" w:hAnsi="仿宋" w:eastAsia="仿宋"/>
          <w:b/>
          <w:bCs/>
          <w:sz w:val="28"/>
          <w:szCs w:val="28"/>
        </w:rPr>
      </w:pPr>
      <w:r>
        <w:rPr>
          <w:rFonts w:hint="eastAsia" w:ascii="仿宋" w:hAnsi="仿宋" w:eastAsia="仿宋"/>
          <w:b/>
          <w:bCs/>
          <w:sz w:val="28"/>
          <w:szCs w:val="28"/>
        </w:rPr>
        <w:t>一、投标须知</w:t>
      </w:r>
    </w:p>
    <w:p w14:paraId="0136B40D">
      <w:pPr>
        <w:spacing w:line="460" w:lineRule="exact"/>
        <w:ind w:firstLine="560" w:firstLineChars="200"/>
        <w:rPr>
          <w:rFonts w:ascii="仿宋" w:hAnsi="仿宋" w:eastAsia="仿宋"/>
          <w:color w:val="auto"/>
          <w:sz w:val="28"/>
          <w:szCs w:val="28"/>
        </w:rPr>
      </w:pPr>
      <w:r>
        <w:rPr>
          <w:rFonts w:hint="eastAsia" w:ascii="仿宋" w:hAnsi="仿宋" w:eastAsia="仿宋"/>
          <w:sz w:val="28"/>
          <w:szCs w:val="28"/>
        </w:rPr>
        <w:t>1、招标方式：公开招标</w:t>
      </w:r>
      <w:r>
        <w:rPr>
          <w:rFonts w:hint="eastAsia" w:ascii="仿宋" w:hAnsi="仿宋" w:eastAsia="仿宋"/>
          <w:color w:val="auto"/>
          <w:sz w:val="28"/>
          <w:szCs w:val="28"/>
        </w:rPr>
        <w:t>。</w:t>
      </w:r>
      <w:r>
        <w:rPr>
          <w:rFonts w:hint="eastAsia" w:ascii="仿宋" w:hAnsi="仿宋" w:eastAsia="仿宋"/>
          <w:b/>
          <w:color w:val="auto"/>
          <w:sz w:val="28"/>
          <w:szCs w:val="28"/>
        </w:rPr>
        <w:t>本次招标采用一次性报价、现场开标</w:t>
      </w:r>
      <w:r>
        <w:rPr>
          <w:rFonts w:hint="eastAsia" w:ascii="仿宋" w:hAnsi="仿宋" w:eastAsia="仿宋"/>
          <w:color w:val="auto"/>
          <w:sz w:val="28"/>
          <w:szCs w:val="28"/>
        </w:rPr>
        <w:t>的方式开标。参与投标，视同完全响应招标文件。</w:t>
      </w:r>
      <w:r>
        <w:rPr>
          <w:rFonts w:ascii="仿宋" w:hAnsi="仿宋" w:eastAsia="仿宋"/>
          <w:b/>
          <w:color w:val="auto"/>
          <w:sz w:val="28"/>
          <w:szCs w:val="28"/>
        </w:rPr>
        <w:t>本次招标设置包干拦标价</w:t>
      </w:r>
      <w:r>
        <w:rPr>
          <w:rFonts w:hint="eastAsia" w:ascii="仿宋" w:hAnsi="仿宋" w:eastAsia="仿宋"/>
          <w:b/>
          <w:color w:val="auto"/>
          <w:sz w:val="28"/>
          <w:szCs w:val="28"/>
        </w:rPr>
        <w:t>：</w:t>
      </w:r>
      <w:r>
        <w:rPr>
          <w:rFonts w:hint="eastAsia" w:ascii="仿宋" w:hAnsi="仿宋" w:eastAsia="仿宋"/>
          <w:b/>
          <w:color w:val="auto"/>
          <w:sz w:val="28"/>
          <w:szCs w:val="28"/>
          <w:lang w:val="en-US" w:eastAsia="zh-CN"/>
        </w:rPr>
        <w:t>125</w:t>
      </w:r>
      <w:r>
        <w:rPr>
          <w:rFonts w:hint="eastAsia" w:ascii="仿宋" w:hAnsi="仿宋" w:eastAsia="仿宋"/>
          <w:b/>
          <w:color w:val="auto"/>
          <w:sz w:val="28"/>
          <w:szCs w:val="28"/>
        </w:rPr>
        <w:t>万元。</w:t>
      </w:r>
      <w:r>
        <w:rPr>
          <w:rFonts w:ascii="仿宋" w:hAnsi="仿宋" w:eastAsia="仿宋"/>
          <w:color w:val="auto"/>
          <w:sz w:val="28"/>
          <w:szCs w:val="28"/>
        </w:rPr>
        <w:t>各投标单位报价不得高于拦标价，高于拦标价的报价视为无效报价，不予评标。</w:t>
      </w:r>
    </w:p>
    <w:p w14:paraId="2AA5F5E5">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投标人应编制投标文件正本</w:t>
      </w:r>
      <w:r>
        <w:rPr>
          <w:rFonts w:hint="eastAsia" w:ascii="仿宋" w:hAnsi="仿宋" w:eastAsia="仿宋"/>
          <w:color w:val="auto"/>
          <w:sz w:val="28"/>
          <w:szCs w:val="28"/>
          <w:lang w:val="en-US" w:eastAsia="zh-CN"/>
        </w:rPr>
        <w:t>一</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二</w:t>
      </w:r>
      <w:r>
        <w:rPr>
          <w:rFonts w:hint="eastAsia" w:ascii="仿宋" w:hAnsi="仿宋" w:eastAsia="仿宋"/>
          <w:color w:val="auto"/>
          <w:sz w:val="28"/>
          <w:szCs w:val="28"/>
        </w:rPr>
        <w:t>份，每套投标文件须清楚地标明“正本”或“副本”。若正本和副本不符，以正本为准。</w:t>
      </w:r>
      <w:r>
        <w:rPr>
          <w:rFonts w:hint="eastAsia" w:ascii="仿宋" w:hAnsi="仿宋" w:eastAsia="仿宋"/>
          <w:b/>
          <w:bCs/>
          <w:color w:val="auto"/>
          <w:sz w:val="28"/>
          <w:szCs w:val="28"/>
          <w:u w:val="single"/>
        </w:rPr>
        <w:t>详细分项报价（见附件5）</w:t>
      </w:r>
      <w:r>
        <w:rPr>
          <w:rFonts w:hint="eastAsia" w:ascii="仿宋" w:hAnsi="仿宋" w:eastAsia="仿宋"/>
          <w:b/>
          <w:bCs/>
          <w:color w:val="auto"/>
          <w:sz w:val="28"/>
          <w:szCs w:val="28"/>
        </w:rPr>
        <w:t>做入标书商务卷</w:t>
      </w:r>
      <w:r>
        <w:rPr>
          <w:rFonts w:hint="eastAsia" w:ascii="仿宋" w:hAnsi="仿宋" w:eastAsia="仿宋"/>
          <w:color w:val="auto"/>
          <w:sz w:val="28"/>
          <w:szCs w:val="28"/>
        </w:rPr>
        <w:t>，</w:t>
      </w:r>
      <w:r>
        <w:rPr>
          <w:rFonts w:hint="eastAsia" w:ascii="仿宋" w:hAnsi="仿宋" w:eastAsia="仿宋"/>
          <w:b/>
          <w:color w:val="auto"/>
          <w:sz w:val="28"/>
          <w:szCs w:val="28"/>
          <w:u w:val="single"/>
        </w:rPr>
        <w:t>投标报价单</w:t>
      </w:r>
      <w:r>
        <w:rPr>
          <w:rFonts w:hint="eastAsia" w:ascii="仿宋" w:hAnsi="仿宋" w:eastAsia="仿宋"/>
          <w:b/>
          <w:color w:val="auto"/>
          <w:sz w:val="28"/>
          <w:szCs w:val="28"/>
        </w:rPr>
        <w:t>（见附件）</w:t>
      </w:r>
      <w:r>
        <w:rPr>
          <w:rFonts w:hint="eastAsia" w:ascii="仿宋" w:hAnsi="仿宋" w:eastAsia="仿宋"/>
          <w:color w:val="auto"/>
          <w:sz w:val="28"/>
          <w:szCs w:val="28"/>
        </w:rPr>
        <w:t>请</w:t>
      </w:r>
      <w:r>
        <w:rPr>
          <w:rFonts w:hint="eastAsia" w:ascii="仿宋" w:hAnsi="仿宋" w:eastAsia="仿宋"/>
          <w:b/>
          <w:color w:val="auto"/>
          <w:sz w:val="28"/>
          <w:szCs w:val="28"/>
          <w:u w:val="single"/>
        </w:rPr>
        <w:t>单独用档案袋密封</w:t>
      </w:r>
      <w:r>
        <w:rPr>
          <w:rFonts w:hint="eastAsia" w:ascii="仿宋" w:hAnsi="仿宋" w:eastAsia="仿宋"/>
          <w:color w:val="auto"/>
          <w:sz w:val="28"/>
          <w:szCs w:val="28"/>
        </w:rPr>
        <w:t>，便于唱标。</w:t>
      </w:r>
    </w:p>
    <w:p w14:paraId="3BD71B40">
      <w:pPr>
        <w:spacing w:line="500" w:lineRule="exact"/>
        <w:ind w:left="412" w:firstLine="14" w:firstLineChars="5"/>
        <w:rPr>
          <w:rFonts w:hint="eastAsia" w:ascii="仿宋" w:hAnsi="仿宋" w:eastAsia="仿宋" w:cs="仿宋"/>
          <w:color w:val="000000"/>
          <w:sz w:val="28"/>
          <w:szCs w:val="28"/>
        </w:rPr>
      </w:pPr>
      <w:r>
        <w:rPr>
          <w:rFonts w:ascii="仿宋" w:hAnsi="仿宋" w:eastAsia="仿宋"/>
          <w:sz w:val="28"/>
          <w:szCs w:val="28"/>
        </w:rPr>
        <w:t>2</w:t>
      </w:r>
      <w:r>
        <w:rPr>
          <w:rFonts w:hint="eastAsia" w:ascii="仿宋" w:hAnsi="仿宋" w:eastAsia="仿宋"/>
          <w:sz w:val="28"/>
          <w:szCs w:val="28"/>
        </w:rPr>
        <w:t>、资质要求（详见技术要求）：</w:t>
      </w:r>
    </w:p>
    <w:p w14:paraId="463D290C">
      <w:pPr>
        <w:spacing w:line="500" w:lineRule="exact"/>
        <w:ind w:firstLine="560" w:firstLineChars="200"/>
        <w:rPr>
          <w:rFonts w:hint="eastAsia" w:ascii="仿宋" w:hAnsi="仿宋" w:eastAsia="仿宋" w:cs="仿宋"/>
          <w:bCs/>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w:t>
      </w:r>
      <w:r>
        <w:rPr>
          <w:rFonts w:hint="eastAsia" w:ascii="仿宋" w:hAnsi="仿宋" w:eastAsia="仿宋" w:cs="仿宋"/>
          <w:bCs/>
          <w:sz w:val="28"/>
          <w:szCs w:val="28"/>
        </w:rPr>
        <w:t>投标人必须是在中华人民共和国境内注册、具有独立法人资格，具有标的物经营资质；母公司、全资子公司及其控股公司不得同时投标；法定代表人或者负责人为同一人或者存在控股、管理关系的两个以上投标人，不得参加同一项目的投标；</w:t>
      </w:r>
    </w:p>
    <w:p w14:paraId="335C9BC2">
      <w:pPr>
        <w:spacing w:line="500" w:lineRule="exact"/>
        <w:ind w:firstLine="560" w:firstLineChars="200"/>
        <w:rPr>
          <w:rFonts w:hint="eastAsia" w:ascii="仿宋" w:hAnsi="仿宋" w:eastAsia="仿宋" w:cs="仿宋"/>
          <w:color w:val="auto"/>
          <w:sz w:val="28"/>
          <w:szCs w:val="28"/>
        </w:rPr>
      </w:pPr>
      <w:r>
        <w:rPr>
          <w:rFonts w:ascii="仿宋" w:hAnsi="仿宋" w:eastAsia="仿宋" w:cs="仿宋"/>
          <w:bCs/>
          <w:sz w:val="28"/>
          <w:szCs w:val="28"/>
        </w:rPr>
        <w:t>2</w:t>
      </w:r>
      <w:r>
        <w:rPr>
          <w:rFonts w:hint="eastAsia" w:ascii="仿宋" w:hAnsi="仿宋" w:eastAsia="仿宋" w:cs="仿宋"/>
          <w:bCs/>
          <w:sz w:val="28"/>
          <w:szCs w:val="28"/>
        </w:rPr>
        <w:t>）投标方需提供近3年至少5台撕碎机或斗式提升机或雷蒙磨的业绩</w:t>
      </w:r>
      <w:r>
        <w:rPr>
          <w:rFonts w:hint="eastAsia" w:ascii="仿宋" w:hAnsi="仿宋" w:eastAsia="仿宋" w:cs="仿宋"/>
          <w:bCs/>
          <w:sz w:val="28"/>
          <w:szCs w:val="28"/>
          <w:lang w:eastAsia="zh-CN"/>
        </w:rPr>
        <w:t>，</w:t>
      </w:r>
      <w:r>
        <w:rPr>
          <w:rFonts w:hint="eastAsia" w:ascii="仿宋" w:hAnsi="仿宋" w:eastAsia="仿宋" w:cs="仿宋"/>
          <w:bCs/>
          <w:sz w:val="28"/>
          <w:szCs w:val="28"/>
        </w:rPr>
        <w:t>并且均运行良好，业绩中要列出项目明细，所有业绩均须在投标文件中提</w:t>
      </w:r>
      <w:r>
        <w:rPr>
          <w:rFonts w:hint="eastAsia" w:ascii="仿宋" w:hAnsi="仿宋" w:eastAsia="仿宋" w:cs="仿宋"/>
          <w:bCs/>
          <w:color w:val="auto"/>
          <w:sz w:val="28"/>
          <w:szCs w:val="28"/>
        </w:rPr>
        <w:t>供合同关键页扫描件</w:t>
      </w:r>
      <w:r>
        <w:rPr>
          <w:rFonts w:hint="eastAsia" w:ascii="仿宋" w:hAnsi="仿宋" w:eastAsia="仿宋" w:cs="仿宋"/>
          <w:b/>
          <w:bCs/>
          <w:color w:val="auto"/>
          <w:sz w:val="28"/>
          <w:szCs w:val="28"/>
        </w:rPr>
        <w:t>，要载明业主方技术方面联系人和联系方式</w:t>
      </w:r>
      <w:r>
        <w:rPr>
          <w:rFonts w:hint="eastAsia" w:ascii="仿宋" w:hAnsi="仿宋" w:eastAsia="仿宋" w:cs="仿宋"/>
          <w:color w:val="auto"/>
          <w:sz w:val="28"/>
          <w:szCs w:val="28"/>
        </w:rPr>
        <w:t>；</w:t>
      </w:r>
    </w:p>
    <w:p w14:paraId="0918E8C2">
      <w:pPr>
        <w:spacing w:line="500" w:lineRule="exact"/>
        <w:ind w:firstLine="560" w:firstLineChars="200"/>
        <w:rPr>
          <w:rFonts w:hint="eastAsia" w:ascii="仿宋" w:hAnsi="仿宋" w:eastAsia="仿宋"/>
          <w:sz w:val="28"/>
          <w:szCs w:val="28"/>
        </w:rPr>
      </w:pPr>
      <w:r>
        <w:rPr>
          <w:rFonts w:hint="eastAsia" w:ascii="仿宋" w:hAnsi="仿宋" w:eastAsia="仿宋" w:cs="仿宋"/>
          <w:bCs/>
          <w:color w:val="auto"/>
          <w:sz w:val="28"/>
          <w:szCs w:val="28"/>
        </w:rPr>
        <w:t>3）</w:t>
      </w:r>
      <w:r>
        <w:rPr>
          <w:rFonts w:ascii="仿宋" w:hAnsi="仿宋" w:eastAsia="仿宋" w:cs="仿宋"/>
          <w:bCs/>
          <w:color w:val="auto"/>
          <w:sz w:val="28"/>
          <w:szCs w:val="28"/>
        </w:rPr>
        <w:t>有良好的银行资信和商业信誉，没有处于被</w:t>
      </w:r>
      <w:r>
        <w:rPr>
          <w:rFonts w:ascii="仿宋" w:hAnsi="仿宋" w:eastAsia="仿宋" w:cs="仿宋"/>
          <w:bCs/>
          <w:sz w:val="28"/>
          <w:szCs w:val="28"/>
        </w:rPr>
        <w:t>责令停业，财产被接管、冻结，破产状态；</w:t>
      </w:r>
      <w:r>
        <w:rPr>
          <w:rFonts w:hint="eastAsia" w:ascii="仿宋" w:hAnsi="仿宋" w:eastAsia="仿宋" w:cs="仿宋"/>
          <w:bCs/>
          <w:sz w:val="28"/>
          <w:szCs w:val="28"/>
        </w:rPr>
        <w:t>投标人在人员、技术、设备、资金方面具有完成本</w:t>
      </w:r>
      <w:r>
        <w:rPr>
          <w:rFonts w:hint="eastAsia" w:ascii="仿宋" w:hAnsi="仿宋" w:eastAsia="仿宋" w:cs="仿宋"/>
          <w:bCs/>
          <w:spacing w:val="-20"/>
          <w:sz w:val="28"/>
          <w:szCs w:val="28"/>
        </w:rPr>
        <w:t>项目合同的能力；</w:t>
      </w:r>
    </w:p>
    <w:p w14:paraId="1BA6086A">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4）近三年承担的项目中无重大质量问题、无严重违约记录，且未被政府、采购人及上级单位等列入安全生产领域失信生产经营单位名单或其他黑名单；</w:t>
      </w:r>
    </w:p>
    <w:p w14:paraId="4B9D7BE0">
      <w:pPr>
        <w:spacing w:line="500" w:lineRule="exact"/>
        <w:ind w:firstLine="560" w:firstLineChars="200"/>
        <w:rPr>
          <w:rFonts w:hint="eastAsia" w:ascii="仿宋" w:hAnsi="仿宋" w:eastAsia="仿宋"/>
          <w:color w:val="000000"/>
          <w:sz w:val="28"/>
          <w:szCs w:val="28"/>
        </w:rPr>
      </w:pPr>
      <w:r>
        <w:rPr>
          <w:rFonts w:ascii="仿宋" w:hAnsi="仿宋" w:eastAsia="仿宋" w:cs="仿宋"/>
          <w:sz w:val="28"/>
          <w:szCs w:val="28"/>
        </w:rPr>
        <w:t>3</w:t>
      </w:r>
      <w:r>
        <w:rPr>
          <w:rFonts w:hint="eastAsia" w:ascii="仿宋" w:hAnsi="仿宋" w:eastAsia="仿宋" w:cs="仿宋"/>
          <w:sz w:val="28"/>
          <w:szCs w:val="28"/>
        </w:rPr>
        <w:t>、</w:t>
      </w:r>
      <w:r>
        <w:rPr>
          <w:rFonts w:hint="eastAsia" w:ascii="仿宋" w:hAnsi="仿宋" w:eastAsia="仿宋"/>
          <w:color w:val="000000"/>
          <w:sz w:val="28"/>
          <w:szCs w:val="28"/>
        </w:rPr>
        <w:t>资质审查：</w:t>
      </w:r>
      <w:r>
        <w:rPr>
          <w:rFonts w:hint="eastAsia" w:ascii="仿宋" w:hAnsi="仿宋" w:eastAsia="仿宋" w:cs="仿宋_GB2312"/>
          <w:sz w:val="28"/>
          <w:szCs w:val="28"/>
        </w:rPr>
        <w:t>本次招标资格审查方式采用资格预审加后审方式进行；</w:t>
      </w:r>
    </w:p>
    <w:p w14:paraId="73A625DD">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1）资格预审：投标人需提供企业营业执照（年审过的有效件且必须有标的物经营范围）、相关资质许可、相关授权资料等、法人授权书、法人及投标人身份证、业绩合同等加盖公章复印件扫描件，打包发送至</w:t>
      </w:r>
      <w:r>
        <w:rPr>
          <w:rFonts w:hint="eastAsia" w:ascii="仿宋" w:hAnsi="仿宋" w:eastAsia="仿宋" w:cs="仿宋"/>
          <w:bCs/>
          <w:sz w:val="28"/>
          <w:szCs w:val="28"/>
          <w:lang w:val="en-US" w:eastAsia="zh-CN"/>
        </w:rPr>
        <w:t>953587319</w:t>
      </w:r>
      <w:r>
        <w:rPr>
          <w:rFonts w:hint="eastAsia" w:ascii="仿宋" w:hAnsi="仿宋" w:eastAsia="仿宋" w:cs="仿宋"/>
          <w:bCs/>
          <w:sz w:val="28"/>
          <w:szCs w:val="28"/>
        </w:rPr>
        <w:t>@qq.com作资质预审；资质预审截止时间：</w:t>
      </w:r>
      <w:r>
        <w:rPr>
          <w:rFonts w:hint="eastAsia" w:ascii="仿宋" w:hAnsi="仿宋" w:eastAsia="仿宋" w:cs="仿宋"/>
          <w:bCs/>
          <w:sz w:val="28"/>
          <w:szCs w:val="28"/>
          <w:lang w:val="en-US" w:eastAsia="zh-CN"/>
        </w:rPr>
        <w:t>2026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5</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27日下</w:t>
      </w:r>
      <w:r>
        <w:rPr>
          <w:rFonts w:hint="eastAsia" w:ascii="仿宋" w:hAnsi="仿宋" w:eastAsia="仿宋" w:cs="仿宋"/>
          <w:bCs/>
          <w:sz w:val="28"/>
          <w:szCs w:val="28"/>
        </w:rPr>
        <w:t>午</w:t>
      </w:r>
      <w:r>
        <w:rPr>
          <w:rFonts w:hint="eastAsia" w:ascii="仿宋" w:hAnsi="仿宋" w:eastAsia="仿宋" w:cs="仿宋"/>
          <w:bCs/>
          <w:sz w:val="28"/>
          <w:szCs w:val="28"/>
          <w:lang w:val="en-US" w:eastAsia="zh-CN"/>
        </w:rPr>
        <w:t>5</w:t>
      </w:r>
      <w:r>
        <w:rPr>
          <w:rFonts w:hint="eastAsia" w:ascii="仿宋" w:hAnsi="仿宋" w:eastAsia="仿宋" w:cs="仿宋"/>
          <w:bCs/>
          <w:sz w:val="28"/>
          <w:szCs w:val="28"/>
        </w:rPr>
        <w:t>时前，逾期未审者不得参与本次招标。</w:t>
      </w:r>
    </w:p>
    <w:p w14:paraId="48077D94">
      <w:pPr>
        <w:spacing w:line="500" w:lineRule="exact"/>
        <w:ind w:firstLine="560" w:firstLineChars="200"/>
        <w:rPr>
          <w:rFonts w:hint="eastAsia"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）资格后审，即在评标过程中评标小组成员共同进行审查；</w:t>
      </w:r>
    </w:p>
    <w:p w14:paraId="62697EFD">
      <w:pPr>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4、投标保证金：各投标人在开标前须向业主单位财务缴纳投标保证金人民币</w:t>
      </w:r>
      <w:r>
        <w:rPr>
          <w:rFonts w:hint="eastAsia" w:ascii="仿宋" w:hAnsi="仿宋" w:eastAsia="仿宋" w:cs="仿宋"/>
          <w:bCs/>
          <w:sz w:val="28"/>
          <w:szCs w:val="28"/>
          <w:lang w:val="en-US" w:eastAsia="zh-CN"/>
        </w:rPr>
        <w:t>壹</w:t>
      </w:r>
      <w:r>
        <w:rPr>
          <w:rFonts w:hint="eastAsia" w:ascii="仿宋" w:hAnsi="仿宋" w:eastAsia="仿宋" w:cs="仿宋"/>
          <w:bCs/>
          <w:sz w:val="28"/>
          <w:szCs w:val="28"/>
        </w:rPr>
        <w:t>万元（￥</w:t>
      </w:r>
      <w:r>
        <w:rPr>
          <w:rFonts w:hint="eastAsia" w:ascii="仿宋" w:hAnsi="仿宋" w:eastAsia="仿宋" w:cs="仿宋"/>
          <w:bCs/>
          <w:sz w:val="28"/>
          <w:szCs w:val="28"/>
          <w:lang w:val="en-US" w:eastAsia="zh-CN"/>
        </w:rPr>
        <w:t>1</w:t>
      </w:r>
      <w:r>
        <w:rPr>
          <w:rFonts w:hint="eastAsia" w:ascii="仿宋" w:hAnsi="仿宋" w:eastAsia="仿宋" w:cs="仿宋"/>
          <w:bCs/>
          <w:sz w:val="28"/>
          <w:szCs w:val="28"/>
        </w:rPr>
        <w:t>0000元）整，（详细要求见招标文件第七部分）；</w:t>
      </w:r>
    </w:p>
    <w:p w14:paraId="0439A327">
      <w:pPr>
        <w:spacing w:line="500" w:lineRule="exact"/>
        <w:ind w:firstLine="560" w:firstLineChars="200"/>
        <w:jc w:val="left"/>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、违约：认真阅读招标文件、合同条款、技术要求，参与投标即视同完全响应（差异表所列内容除外）。中标单位必须严格按照投标文件及投标报价单(价格、付款方式)签订合同及技术协议，否则即为违约</w:t>
      </w:r>
      <w:r>
        <w:rPr>
          <w:rFonts w:hint="eastAsia" w:ascii="仿宋" w:hAnsi="仿宋" w:eastAsia="仿宋" w:cs="仿宋"/>
          <w:sz w:val="28"/>
          <w:szCs w:val="28"/>
        </w:rPr>
        <w:t>（详见招标文件第七部分）</w:t>
      </w:r>
      <w:r>
        <w:rPr>
          <w:rFonts w:hint="eastAsia" w:ascii="仿宋" w:hAnsi="仿宋" w:eastAsia="仿宋"/>
          <w:sz w:val="28"/>
          <w:szCs w:val="28"/>
        </w:rPr>
        <w:t>；</w:t>
      </w:r>
    </w:p>
    <w:p w14:paraId="3234D095">
      <w:pPr>
        <w:spacing w:line="500" w:lineRule="exact"/>
        <w:ind w:firstLine="560" w:firstLineChars="200"/>
        <w:rPr>
          <w:rFonts w:hint="eastAsia" w:ascii="仿宋" w:hAnsi="仿宋" w:eastAsia="仿宋"/>
          <w:sz w:val="28"/>
          <w:szCs w:val="28"/>
        </w:rPr>
      </w:pPr>
      <w:r>
        <w:rPr>
          <w:rFonts w:ascii="仿宋" w:hAnsi="仿宋" w:eastAsia="仿宋"/>
          <w:sz w:val="28"/>
          <w:szCs w:val="28"/>
        </w:rPr>
        <w:t>6</w:t>
      </w:r>
      <w:r>
        <w:rPr>
          <w:rFonts w:hint="eastAsia" w:ascii="仿宋" w:hAnsi="仿宋" w:eastAsia="仿宋"/>
          <w:sz w:val="28"/>
          <w:szCs w:val="28"/>
        </w:rPr>
        <w:t>、评标办法：各投标单位在都能满足招标文件及技术规范需求的情况下，综合评分高者优先列为中标候选单位（</w:t>
      </w:r>
      <w:r>
        <w:rPr>
          <w:rFonts w:hint="eastAsia" w:ascii="仿宋" w:hAnsi="仿宋" w:eastAsia="仿宋" w:cs="仿宋"/>
          <w:sz w:val="28"/>
          <w:szCs w:val="28"/>
        </w:rPr>
        <w:t>详见招标文件第三部分）</w:t>
      </w:r>
      <w:r>
        <w:rPr>
          <w:rFonts w:hint="eastAsia" w:ascii="仿宋" w:hAnsi="仿宋" w:eastAsia="仿宋"/>
          <w:sz w:val="28"/>
          <w:szCs w:val="28"/>
        </w:rPr>
        <w:t>；</w:t>
      </w:r>
    </w:p>
    <w:p w14:paraId="2F32AD8F">
      <w:pPr>
        <w:spacing w:line="500" w:lineRule="exact"/>
        <w:ind w:firstLine="560" w:firstLineChars="200"/>
        <w:rPr>
          <w:rFonts w:hint="eastAsia" w:ascii="仿宋" w:hAnsi="仿宋" w:eastAsia="仿宋" w:cs="仿宋"/>
          <w:sz w:val="28"/>
          <w:szCs w:val="28"/>
        </w:rPr>
      </w:pPr>
      <w:r>
        <w:rPr>
          <w:rFonts w:ascii="仿宋" w:hAnsi="仿宋" w:eastAsia="仿宋"/>
          <w:sz w:val="28"/>
          <w:szCs w:val="28"/>
        </w:rPr>
        <w:t>7</w:t>
      </w:r>
      <w:r>
        <w:rPr>
          <w:rFonts w:hint="eastAsia" w:ascii="仿宋" w:hAnsi="仿宋" w:eastAsia="仿宋"/>
          <w:sz w:val="28"/>
          <w:szCs w:val="28"/>
        </w:rPr>
        <w:t>、供货范围：</w:t>
      </w:r>
      <w:r>
        <w:rPr>
          <w:rFonts w:hint="eastAsia" w:ascii="仿宋" w:hAnsi="仿宋" w:eastAsia="仿宋" w:cs="仿宋"/>
          <w:sz w:val="28"/>
          <w:szCs w:val="28"/>
        </w:rPr>
        <w:t>具体供货范围详见技术规范</w:t>
      </w:r>
      <w:r>
        <w:rPr>
          <w:rFonts w:hint="eastAsia" w:ascii="仿宋" w:hAnsi="仿宋" w:eastAsia="仿宋"/>
          <w:sz w:val="28"/>
          <w:szCs w:val="28"/>
        </w:rPr>
        <w:t>（附件8）；</w:t>
      </w:r>
    </w:p>
    <w:p w14:paraId="46392117">
      <w:pPr>
        <w:spacing w:line="500" w:lineRule="exact"/>
        <w:ind w:firstLine="560" w:firstLineChars="200"/>
        <w:rPr>
          <w:rFonts w:hint="eastAsia" w:ascii="仿宋" w:hAnsi="仿宋" w:eastAsia="仿宋"/>
          <w:sz w:val="28"/>
          <w:szCs w:val="28"/>
        </w:rPr>
      </w:pPr>
      <w:r>
        <w:rPr>
          <w:rFonts w:ascii="仿宋" w:hAnsi="仿宋" w:eastAsia="仿宋" w:cs="仿宋"/>
          <w:sz w:val="28"/>
          <w:szCs w:val="28"/>
        </w:rPr>
        <w:t>8</w:t>
      </w:r>
      <w:r>
        <w:rPr>
          <w:rFonts w:hint="eastAsia" w:ascii="仿宋" w:hAnsi="仿宋" w:eastAsia="仿宋" w:cs="仿宋"/>
          <w:sz w:val="28"/>
          <w:szCs w:val="28"/>
        </w:rPr>
        <w:t>、</w:t>
      </w:r>
      <w:r>
        <w:rPr>
          <w:rFonts w:hint="eastAsia" w:ascii="仿宋" w:hAnsi="仿宋" w:eastAsia="仿宋"/>
          <w:sz w:val="28"/>
          <w:szCs w:val="28"/>
        </w:rPr>
        <w:t>解决招标纠纷的方式：双方友好协商；协商不成，提交招标方所在地有管辖权的人民法院裁决；</w:t>
      </w:r>
    </w:p>
    <w:p w14:paraId="18B7368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9、为保证项目的进度要求，招标人保留拆包授予合同的权力。</w:t>
      </w:r>
    </w:p>
    <w:p w14:paraId="47B4150A">
      <w:pPr>
        <w:spacing w:line="500" w:lineRule="exact"/>
        <w:rPr>
          <w:rFonts w:hint="eastAsia" w:ascii="仿宋" w:hAnsi="仿宋" w:eastAsia="仿宋"/>
          <w:b/>
          <w:bCs/>
          <w:sz w:val="28"/>
          <w:szCs w:val="28"/>
        </w:rPr>
      </w:pPr>
      <w:r>
        <w:rPr>
          <w:rFonts w:hint="eastAsia" w:ascii="仿宋" w:hAnsi="仿宋" w:eastAsia="仿宋"/>
          <w:b/>
          <w:bCs/>
          <w:sz w:val="28"/>
          <w:szCs w:val="28"/>
        </w:rPr>
        <w:t>二、投标文件</w:t>
      </w:r>
    </w:p>
    <w:p w14:paraId="6297F05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 、投标文件的组成</w:t>
      </w:r>
    </w:p>
    <w:p w14:paraId="79ECB71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1.1. 投标文件由三卷组成：</w:t>
      </w:r>
    </w:p>
    <w:p w14:paraId="0938B3A4">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第一卷为商务部分，包括以下内容：</w:t>
      </w:r>
    </w:p>
    <w:p w14:paraId="5F505CBD">
      <w:pPr>
        <w:spacing w:line="50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1）投标人廉政承诺书</w:t>
      </w:r>
      <w:r>
        <w:rPr>
          <w:rFonts w:hint="eastAsia" w:ascii="仿宋" w:hAnsi="仿宋" w:eastAsia="仿宋"/>
          <w:sz w:val="28"/>
          <w:szCs w:val="28"/>
          <w:lang w:eastAsia="zh-CN"/>
        </w:rPr>
        <w:t>（</w:t>
      </w:r>
      <w:r>
        <w:rPr>
          <w:rFonts w:hint="eastAsia" w:ascii="仿宋" w:hAnsi="仿宋" w:eastAsia="仿宋"/>
          <w:sz w:val="28"/>
          <w:szCs w:val="28"/>
        </w:rPr>
        <w:t>详见附件</w:t>
      </w:r>
      <w:r>
        <w:rPr>
          <w:rFonts w:ascii="仿宋" w:hAnsi="仿宋" w:eastAsia="仿宋"/>
          <w:sz w:val="28"/>
          <w:szCs w:val="28"/>
        </w:rPr>
        <w:t>1</w:t>
      </w:r>
      <w:r>
        <w:rPr>
          <w:rFonts w:hint="eastAsia" w:ascii="仿宋" w:hAnsi="仿宋" w:eastAsia="仿宋"/>
          <w:sz w:val="28"/>
          <w:szCs w:val="28"/>
          <w:lang w:eastAsia="zh-CN"/>
        </w:rPr>
        <w:t>）；</w:t>
      </w:r>
    </w:p>
    <w:p w14:paraId="2902A76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2）投标人承诺函（详见附件</w:t>
      </w: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eastAsia="zh-CN"/>
        </w:rPr>
        <w:t>；</w:t>
      </w:r>
      <w:r>
        <w:rPr>
          <w:rFonts w:ascii="仿宋" w:hAnsi="仿宋" w:eastAsia="仿宋"/>
          <w:sz w:val="28"/>
          <w:szCs w:val="28"/>
        </w:rPr>
        <w:t xml:space="preserve">   </w:t>
      </w:r>
    </w:p>
    <w:p w14:paraId="65DD3E6F">
      <w:pPr>
        <w:spacing w:line="500" w:lineRule="exact"/>
        <w:ind w:firstLine="560" w:firstLineChars="200"/>
        <w:rPr>
          <w:rFonts w:hint="eastAsia" w:ascii="仿宋" w:hAnsi="仿宋" w:eastAsia="仿宋"/>
          <w:spacing w:val="-20"/>
          <w:sz w:val="28"/>
          <w:szCs w:val="28"/>
          <w:lang w:eastAsia="zh-CN"/>
        </w:rPr>
      </w:pPr>
      <w:r>
        <w:rPr>
          <w:rFonts w:hint="eastAsia" w:ascii="仿宋" w:hAnsi="仿宋" w:eastAsia="仿宋"/>
          <w:sz w:val="28"/>
          <w:szCs w:val="28"/>
        </w:rPr>
        <w:t>3）</w:t>
      </w:r>
      <w:r>
        <w:rPr>
          <w:rFonts w:hint="eastAsia" w:ascii="仿宋" w:hAnsi="仿宋" w:eastAsia="仿宋"/>
          <w:spacing w:val="-20"/>
          <w:sz w:val="28"/>
          <w:szCs w:val="28"/>
        </w:rPr>
        <w:t>投标人法定代表人授权书（法定代表人必须签字签章），</w:t>
      </w:r>
      <w:r>
        <w:rPr>
          <w:rFonts w:hint="eastAsia" w:ascii="仿宋" w:hAnsi="仿宋" w:eastAsia="仿宋"/>
          <w:spacing w:val="-20"/>
          <w:sz w:val="28"/>
          <w:szCs w:val="28"/>
          <w:lang w:eastAsia="zh-CN"/>
        </w:rPr>
        <w:t>（</w:t>
      </w:r>
      <w:r>
        <w:rPr>
          <w:rFonts w:hint="eastAsia" w:ascii="仿宋" w:hAnsi="仿宋" w:eastAsia="仿宋"/>
          <w:spacing w:val="-20"/>
          <w:sz w:val="28"/>
          <w:szCs w:val="28"/>
        </w:rPr>
        <w:t>详见附件</w:t>
      </w:r>
      <w:r>
        <w:rPr>
          <w:rFonts w:ascii="仿宋" w:hAnsi="仿宋" w:eastAsia="仿宋"/>
          <w:spacing w:val="-20"/>
          <w:sz w:val="28"/>
          <w:szCs w:val="28"/>
        </w:rPr>
        <w:t>3</w:t>
      </w:r>
      <w:r>
        <w:rPr>
          <w:rFonts w:hint="eastAsia" w:ascii="仿宋" w:hAnsi="仿宋" w:eastAsia="仿宋"/>
          <w:spacing w:val="-20"/>
          <w:sz w:val="28"/>
          <w:szCs w:val="28"/>
          <w:lang w:eastAsia="zh-CN"/>
        </w:rPr>
        <w:t>）</w:t>
      </w:r>
    </w:p>
    <w:p w14:paraId="73B1199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4）投标人资信证明文件，其中包括：</w:t>
      </w:r>
    </w:p>
    <w:p w14:paraId="6C308E7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I.关于投标人资格的声明函（见附件4）；</w:t>
      </w:r>
    </w:p>
    <w:p w14:paraId="1DD5B9B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II.企业营业执照（复印件加盖企业红章）</w:t>
      </w:r>
    </w:p>
    <w:p w14:paraId="2B4205D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III.有关鉴定材料、资质证书等资质文件；</w:t>
      </w:r>
    </w:p>
    <w:p w14:paraId="1EE695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IV.体系认证及认证证明；</w:t>
      </w:r>
    </w:p>
    <w:p w14:paraId="0EF855B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V. 业绩及目前正在执行合同情况；</w:t>
      </w:r>
    </w:p>
    <w:p w14:paraId="67FC764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VI. 其它文件和资料。</w:t>
      </w:r>
    </w:p>
    <w:p w14:paraId="5B51D80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5）企业、产品简介；</w:t>
      </w:r>
    </w:p>
    <w:p w14:paraId="6DDA8A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6）分项详细报价等（见附件5）；</w:t>
      </w:r>
      <w:bookmarkStart w:id="16" w:name="_GoBack"/>
      <w:bookmarkEnd w:id="16"/>
    </w:p>
    <w:p w14:paraId="7404C110">
      <w:pPr>
        <w:spacing w:line="500" w:lineRule="exact"/>
        <w:ind w:firstLine="560" w:firstLineChars="200"/>
        <w:rPr>
          <w:rFonts w:hint="eastAsia" w:ascii="仿宋" w:hAnsi="仿宋" w:eastAsia="仿宋"/>
          <w:sz w:val="28"/>
          <w:szCs w:val="28"/>
        </w:rPr>
      </w:pPr>
      <w:r>
        <w:rPr>
          <w:rFonts w:ascii="仿宋" w:hAnsi="仿宋" w:eastAsia="仿宋"/>
          <w:sz w:val="28"/>
          <w:szCs w:val="28"/>
        </w:rPr>
        <w:t>7</w:t>
      </w:r>
      <w:r>
        <w:rPr>
          <w:rFonts w:hint="eastAsia" w:ascii="仿宋" w:hAnsi="仿宋" w:eastAsia="仿宋"/>
          <w:sz w:val="28"/>
          <w:szCs w:val="28"/>
        </w:rPr>
        <w:t>）异议回复（详见附件7）</w:t>
      </w:r>
    </w:p>
    <w:p w14:paraId="756F71C7">
      <w:pPr>
        <w:spacing w:line="500" w:lineRule="exact"/>
        <w:ind w:firstLine="562" w:firstLineChars="200"/>
        <w:rPr>
          <w:rFonts w:hint="eastAsia" w:ascii="仿宋" w:hAnsi="仿宋" w:eastAsia="仿宋"/>
          <w:sz w:val="28"/>
          <w:szCs w:val="28"/>
        </w:rPr>
      </w:pPr>
      <w:r>
        <w:rPr>
          <w:rFonts w:hint="eastAsia" w:ascii="仿宋" w:hAnsi="仿宋" w:eastAsia="仿宋"/>
          <w:b/>
          <w:bCs/>
          <w:sz w:val="28"/>
          <w:szCs w:val="28"/>
        </w:rPr>
        <w:t>第二卷为技术部分（按招标方技术规范做相应说明）；</w:t>
      </w:r>
    </w:p>
    <w:p w14:paraId="4F6CDFF2">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第三卷为售后、技术服务和设计联络部分</w:t>
      </w:r>
    </w:p>
    <w:p w14:paraId="1ED81C1C">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投标人所作的一切有效补充、修改文件，均被视为投标文件不可分割的部分。</w:t>
      </w:r>
    </w:p>
    <w:p w14:paraId="63BB25CD">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2 投标文件的编制</w:t>
      </w:r>
    </w:p>
    <w:p w14:paraId="1DA61C3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2.1 一般要求</w:t>
      </w:r>
    </w:p>
    <w:p w14:paraId="08943AC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人应严格按照招标文件所规定的格式和内容要求编制投标文件，逐项逐条回答招标文件，顺序和编号应与招标文件一致。可以增加说明或描述性文字。投标文件对招标文件未提出异议的条款，均被视为接受和同意。</w:t>
      </w:r>
    </w:p>
    <w:p w14:paraId="39A08A6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2.2 投标有效期</w:t>
      </w:r>
    </w:p>
    <w:p w14:paraId="5EE9CF7B">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投标文件从开标之日起，投标有效期为</w:t>
      </w:r>
      <w:r>
        <w:rPr>
          <w:rFonts w:hint="eastAsia" w:ascii="仿宋" w:hAnsi="仿宋" w:eastAsia="仿宋"/>
          <w:sz w:val="28"/>
          <w:szCs w:val="28"/>
          <w:lang w:val="en-US" w:eastAsia="zh-CN"/>
        </w:rPr>
        <w:t>180</w:t>
      </w:r>
      <w:r>
        <w:rPr>
          <w:rFonts w:hint="eastAsia" w:ascii="仿宋" w:hAnsi="仿宋" w:eastAsia="仿宋"/>
          <w:sz w:val="28"/>
          <w:szCs w:val="28"/>
        </w:rPr>
        <w:t>天。</w:t>
      </w:r>
    </w:p>
    <w:p w14:paraId="4AC98184">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2.3 投标人建议</w:t>
      </w:r>
    </w:p>
    <w:p w14:paraId="2F7A8B0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投标人可提出补充建议或说明，提出比招标文件的要求更为合理的建议方案，列于附件中。同时应说明对技术条件、价格、运行、维护、检修、安装等方面的影响。</w:t>
      </w:r>
    </w:p>
    <w:p w14:paraId="0B338E5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2.4 投标文件的份数和签署</w:t>
      </w:r>
    </w:p>
    <w:p w14:paraId="53E8657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2.4.1投标文件一式</w:t>
      </w:r>
      <w:r>
        <w:rPr>
          <w:rFonts w:hint="eastAsia" w:ascii="仿宋" w:hAnsi="仿宋" w:eastAsia="仿宋"/>
          <w:sz w:val="28"/>
          <w:szCs w:val="28"/>
          <w:lang w:val="en-US" w:eastAsia="zh-CN"/>
        </w:rPr>
        <w:t>二</w:t>
      </w:r>
      <w:r>
        <w:rPr>
          <w:rFonts w:hint="eastAsia" w:ascii="仿宋" w:hAnsi="仿宋" w:eastAsia="仿宋"/>
          <w:sz w:val="28"/>
          <w:szCs w:val="28"/>
        </w:rPr>
        <w:t>份，正本一份，副本</w:t>
      </w:r>
      <w:r>
        <w:rPr>
          <w:rFonts w:hint="eastAsia" w:ascii="仿宋" w:hAnsi="仿宋" w:eastAsia="仿宋"/>
          <w:sz w:val="28"/>
          <w:szCs w:val="28"/>
          <w:lang w:val="en-US" w:eastAsia="zh-CN"/>
        </w:rPr>
        <w:t>二</w:t>
      </w:r>
      <w:r>
        <w:rPr>
          <w:rFonts w:hint="eastAsia" w:ascii="仿宋" w:hAnsi="仿宋" w:eastAsia="仿宋"/>
          <w:sz w:val="28"/>
          <w:szCs w:val="28"/>
        </w:rPr>
        <w:t>份。</w:t>
      </w:r>
    </w:p>
    <w:p w14:paraId="15885E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2.4.2 投标文件正本的每一页均应由投标人代表签字。报价表均应由投标人代表签名并加盖公章。</w:t>
      </w:r>
    </w:p>
    <w:p w14:paraId="2BA2A093">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3 投标报价（详见报价单）</w:t>
      </w:r>
    </w:p>
    <w:p w14:paraId="18F704B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3.1 投标人应严格按照招标方投标报价单格式认真填写投标报价，对照技术规范列出各种分项价格表（分项报价列入商务卷）。</w:t>
      </w:r>
    </w:p>
    <w:p w14:paraId="577BB3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3.2 投标人的报价在报价有效期内固定不变。</w:t>
      </w:r>
    </w:p>
    <w:p w14:paraId="3F98538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3.4 投标报价应注明有效期，有效期应与投标有效期相一致。</w:t>
      </w:r>
    </w:p>
    <w:p w14:paraId="51C91B23">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4 投标文件的递交</w:t>
      </w:r>
    </w:p>
    <w:p w14:paraId="2B22F74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4.1 投标文件的密封与标记</w:t>
      </w:r>
    </w:p>
    <w:p w14:paraId="7775A919">
      <w:pPr>
        <w:spacing w:line="500" w:lineRule="exact"/>
        <w:ind w:firstLine="560" w:firstLineChars="200"/>
        <w:rPr>
          <w:rFonts w:hint="eastAsia" w:ascii="仿宋" w:hAnsi="仿宋" w:eastAsia="仿宋"/>
          <w:color w:val="auto"/>
          <w:sz w:val="28"/>
          <w:szCs w:val="28"/>
        </w:rPr>
      </w:pPr>
      <w:r>
        <w:rPr>
          <w:rFonts w:hint="eastAsia" w:ascii="仿宋" w:hAnsi="仿宋" w:eastAsia="仿宋"/>
          <w:sz w:val="28"/>
          <w:szCs w:val="28"/>
        </w:rPr>
        <w:t>4.1.1 投标文件的正本和副本应分别密封，封套上注明项目名称、设备名称、投标</w:t>
      </w:r>
      <w:r>
        <w:rPr>
          <w:rFonts w:hint="eastAsia" w:ascii="仿宋" w:hAnsi="仿宋" w:eastAsia="仿宋"/>
          <w:color w:val="auto"/>
          <w:sz w:val="28"/>
          <w:szCs w:val="28"/>
        </w:rPr>
        <w:t>人名址、“正本”“副本”字样及“</w:t>
      </w:r>
      <w:r>
        <w:rPr>
          <w:rFonts w:hint="eastAsia" w:ascii="仿宋" w:hAnsi="仿宋" w:eastAsia="仿宋"/>
          <w:b w:val="0"/>
          <w:bCs/>
          <w:color w:val="auto"/>
          <w:sz w:val="28"/>
          <w:szCs w:val="28"/>
        </w:rPr>
        <w:t>202</w:t>
      </w:r>
      <w:r>
        <w:rPr>
          <w:rFonts w:hint="eastAsia" w:ascii="仿宋" w:hAnsi="仿宋" w:eastAsia="仿宋"/>
          <w:b w:val="0"/>
          <w:bCs/>
          <w:color w:val="auto"/>
          <w:sz w:val="28"/>
          <w:szCs w:val="28"/>
          <w:lang w:val="en-US" w:eastAsia="zh-CN"/>
        </w:rPr>
        <w:t>6</w:t>
      </w:r>
      <w:r>
        <w:rPr>
          <w:rFonts w:hint="eastAsia" w:ascii="仿宋" w:hAnsi="仿宋" w:eastAsia="仿宋"/>
          <w:b w:val="0"/>
          <w:bCs/>
          <w:color w:val="auto"/>
          <w:sz w:val="28"/>
          <w:szCs w:val="28"/>
        </w:rPr>
        <w:t>年</w:t>
      </w:r>
      <w:r>
        <w:rPr>
          <w:rFonts w:hint="eastAsia" w:ascii="仿宋" w:hAnsi="仿宋" w:eastAsia="仿宋"/>
          <w:b w:val="0"/>
          <w:bCs/>
          <w:color w:val="auto"/>
          <w:sz w:val="28"/>
          <w:szCs w:val="28"/>
          <w:lang w:val="en-US" w:eastAsia="zh-CN"/>
        </w:rPr>
        <w:t>5</w:t>
      </w:r>
      <w:r>
        <w:rPr>
          <w:rFonts w:hint="eastAsia" w:ascii="仿宋" w:hAnsi="仿宋" w:eastAsia="仿宋"/>
          <w:b w:val="0"/>
          <w:bCs/>
          <w:color w:val="auto"/>
          <w:sz w:val="28"/>
          <w:szCs w:val="28"/>
        </w:rPr>
        <w:t>月</w:t>
      </w:r>
      <w:r>
        <w:rPr>
          <w:rFonts w:hint="eastAsia" w:ascii="仿宋" w:hAnsi="仿宋" w:eastAsia="仿宋"/>
          <w:b w:val="0"/>
          <w:bCs/>
          <w:color w:val="auto"/>
          <w:sz w:val="28"/>
          <w:szCs w:val="28"/>
          <w:lang w:val="en-US" w:eastAsia="zh-CN"/>
        </w:rPr>
        <w:t>28</w:t>
      </w:r>
      <w:r>
        <w:rPr>
          <w:rFonts w:hint="eastAsia" w:ascii="仿宋" w:hAnsi="仿宋" w:eastAsia="仿宋"/>
          <w:b w:val="0"/>
          <w:bCs/>
          <w:color w:val="auto"/>
          <w:sz w:val="28"/>
          <w:szCs w:val="28"/>
        </w:rPr>
        <w:t>日</w:t>
      </w:r>
      <w:r>
        <w:rPr>
          <w:rFonts w:hint="eastAsia" w:ascii="仿宋" w:hAnsi="仿宋" w:eastAsia="仿宋"/>
          <w:b w:val="0"/>
          <w:bCs/>
          <w:color w:val="auto"/>
          <w:sz w:val="28"/>
          <w:szCs w:val="28"/>
          <w:lang w:val="en-US" w:eastAsia="zh-CN"/>
        </w:rPr>
        <w:t>10时</w:t>
      </w:r>
      <w:r>
        <w:rPr>
          <w:rFonts w:hint="eastAsia" w:ascii="仿宋" w:hAnsi="仿宋" w:eastAsia="仿宋"/>
          <w:color w:val="auto"/>
          <w:sz w:val="28"/>
          <w:szCs w:val="28"/>
        </w:rPr>
        <w:t>（北京时间）之前不得启封”字样。</w:t>
      </w:r>
    </w:p>
    <w:p w14:paraId="77E50E67">
      <w:pPr>
        <w:spacing w:line="500" w:lineRule="exact"/>
        <w:ind w:firstLine="560" w:firstLineChars="200"/>
        <w:rPr>
          <w:rFonts w:hint="eastAsia" w:ascii="仿宋" w:hAnsi="仿宋" w:eastAsia="仿宋" w:cs="Times New Roman"/>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.1.2</w:t>
      </w:r>
      <w:r>
        <w:rPr>
          <w:rFonts w:hint="eastAsia" w:ascii="仿宋" w:hAnsi="仿宋" w:eastAsia="仿宋" w:cs="Times New Roman"/>
          <w:color w:val="auto"/>
          <w:sz w:val="28"/>
          <w:szCs w:val="28"/>
        </w:rPr>
        <w:t>为便于开标唱标，投标人应将《投标报价单》另用档案袋单独密封，与投标文件一同提交，并在封面上注明项目名称、投标人名字、“投标报价表”字样及“202</w:t>
      </w:r>
      <w:r>
        <w:rPr>
          <w:rFonts w:hint="eastAsia" w:ascii="仿宋" w:hAnsi="仿宋" w:eastAsia="仿宋" w:cs="Times New Roman"/>
          <w:color w:val="auto"/>
          <w:sz w:val="28"/>
          <w:szCs w:val="28"/>
          <w:lang w:val="en-US" w:eastAsia="zh-CN"/>
        </w:rPr>
        <w:t>6</w:t>
      </w:r>
      <w:r>
        <w:rPr>
          <w:rFonts w:hint="eastAsia" w:ascii="仿宋" w:hAnsi="仿宋" w:eastAsia="仿宋" w:cs="Times New Roman"/>
          <w:color w:val="auto"/>
          <w:sz w:val="28"/>
          <w:szCs w:val="28"/>
        </w:rPr>
        <w:t>年</w:t>
      </w:r>
      <w:r>
        <w:rPr>
          <w:rFonts w:hint="eastAsia" w:ascii="仿宋" w:hAnsi="仿宋" w:eastAsia="仿宋" w:cs="Times New Roman"/>
          <w:color w:val="auto"/>
          <w:sz w:val="28"/>
          <w:szCs w:val="28"/>
          <w:lang w:val="en-US" w:eastAsia="zh-CN"/>
        </w:rPr>
        <w:t>5</w:t>
      </w:r>
      <w:r>
        <w:rPr>
          <w:rFonts w:hint="eastAsia" w:ascii="仿宋" w:hAnsi="仿宋" w:eastAsia="仿宋" w:cs="Times New Roman"/>
          <w:color w:val="auto"/>
          <w:sz w:val="28"/>
          <w:szCs w:val="28"/>
        </w:rPr>
        <w:t>月</w:t>
      </w:r>
      <w:r>
        <w:rPr>
          <w:rFonts w:hint="eastAsia" w:ascii="仿宋" w:hAnsi="仿宋" w:eastAsia="仿宋" w:cs="Times New Roman"/>
          <w:color w:val="auto"/>
          <w:sz w:val="28"/>
          <w:szCs w:val="28"/>
          <w:lang w:val="en-US" w:eastAsia="zh-CN"/>
        </w:rPr>
        <w:t>28</w:t>
      </w:r>
      <w:r>
        <w:rPr>
          <w:rFonts w:hint="eastAsia" w:ascii="仿宋" w:hAnsi="仿宋" w:eastAsia="仿宋" w:cs="Times New Roman"/>
          <w:color w:val="auto"/>
          <w:sz w:val="28"/>
          <w:szCs w:val="28"/>
        </w:rPr>
        <w:t>日</w:t>
      </w:r>
      <w:r>
        <w:rPr>
          <w:rFonts w:hint="eastAsia" w:ascii="仿宋" w:hAnsi="仿宋" w:eastAsia="仿宋" w:cs="Times New Roman"/>
          <w:color w:val="auto"/>
          <w:sz w:val="28"/>
          <w:szCs w:val="28"/>
          <w:lang w:val="en-US" w:eastAsia="zh-CN"/>
        </w:rPr>
        <w:t>10时</w:t>
      </w:r>
      <w:r>
        <w:rPr>
          <w:rFonts w:hint="eastAsia" w:ascii="仿宋" w:hAnsi="仿宋" w:eastAsia="仿宋" w:cs="Times New Roman"/>
          <w:color w:val="auto"/>
          <w:sz w:val="28"/>
          <w:szCs w:val="28"/>
        </w:rPr>
        <w:t>（北京时间）之前不得启封”字样。</w:t>
      </w:r>
    </w:p>
    <w:p w14:paraId="29667C08">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4.1.</w:t>
      </w:r>
      <w:r>
        <w:rPr>
          <w:rFonts w:ascii="仿宋" w:hAnsi="仿宋" w:eastAsia="仿宋"/>
          <w:sz w:val="28"/>
          <w:szCs w:val="28"/>
        </w:rPr>
        <w:t>3</w:t>
      </w:r>
      <w:r>
        <w:rPr>
          <w:rFonts w:hint="eastAsia" w:ascii="仿宋" w:hAnsi="仿宋" w:eastAsia="仿宋"/>
          <w:sz w:val="28"/>
          <w:szCs w:val="28"/>
        </w:rPr>
        <w:t>所有密封封口处均应加盖投标人公章。</w:t>
      </w:r>
    </w:p>
    <w:p w14:paraId="5BB1071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4.2 投标人必须向招标人提供投标文件及图纸、技术资料的电子版一份</w:t>
      </w:r>
      <w:r>
        <w:rPr>
          <w:rFonts w:hint="eastAsia" w:ascii="仿宋" w:hAnsi="仿宋" w:eastAsia="仿宋" w:cs="仿宋_GB2312"/>
          <w:sz w:val="28"/>
          <w:szCs w:val="28"/>
        </w:rPr>
        <w:t>，密封于投标文件正本中。</w:t>
      </w:r>
    </w:p>
    <w:p w14:paraId="3168C795">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5</w:t>
      </w:r>
      <w:r>
        <w:rPr>
          <w:rFonts w:hint="eastAsia" w:ascii="仿宋" w:hAnsi="仿宋" w:eastAsia="仿宋"/>
          <w:b/>
          <w:bCs/>
          <w:sz w:val="28"/>
          <w:szCs w:val="28"/>
          <w:lang w:eastAsia="zh-CN"/>
        </w:rPr>
        <w:t>、</w:t>
      </w:r>
      <w:r>
        <w:rPr>
          <w:rFonts w:hint="eastAsia" w:ascii="仿宋" w:hAnsi="仿宋" w:eastAsia="仿宋"/>
          <w:b/>
          <w:bCs/>
          <w:sz w:val="28"/>
          <w:szCs w:val="28"/>
        </w:rPr>
        <w:t xml:space="preserve"> 无效投标：发生下列情况之一者，视为无效投标。</w:t>
      </w:r>
    </w:p>
    <w:p w14:paraId="1BBD5FA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   商务评标过程中，有下列情形之一者，应予废标：</w:t>
      </w:r>
    </w:p>
    <w:p w14:paraId="4B0AFF7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5.1.1  投标人及其制造商与招标人、招标机构有利害关系的。</w:t>
      </w:r>
    </w:p>
    <w:p w14:paraId="7FF7D08B">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5.1.2  </w:t>
      </w:r>
      <w:r>
        <w:rPr>
          <w:rFonts w:hint="eastAsia" w:ascii="仿宋" w:hAnsi="仿宋" w:eastAsia="仿宋"/>
          <w:spacing w:val="-20"/>
          <w:sz w:val="28"/>
          <w:szCs w:val="28"/>
        </w:rPr>
        <w:t>投标人的投标书、资格证明未提供或不符合招标文件的要求。</w:t>
      </w:r>
    </w:p>
    <w:p w14:paraId="610873E8">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5.1.3  </w:t>
      </w:r>
      <w:r>
        <w:rPr>
          <w:rFonts w:hint="eastAsia" w:ascii="仿宋" w:hAnsi="仿宋" w:eastAsia="仿宋"/>
          <w:spacing w:val="-20"/>
          <w:sz w:val="28"/>
          <w:szCs w:val="28"/>
        </w:rPr>
        <w:t>投标文件无法定代表人签字或签字人无法定代表人有效授权书的。</w:t>
      </w:r>
    </w:p>
    <w:p w14:paraId="1C537E9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5.1.4  投标人业绩不能满足招标文件的要求。</w:t>
      </w:r>
    </w:p>
    <w:p w14:paraId="4A2C7BF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5.1.5  投标文件符合招标文件中规定废标的其他商务条款。</w:t>
      </w:r>
    </w:p>
    <w:p w14:paraId="279C780A">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5.2   技术评标过程中，有下列情形之一者，应予废标：</w:t>
      </w:r>
    </w:p>
    <w:p w14:paraId="38B5F22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5.2.1  投标文件不能满足招标文件技术规格中主要参数要求或主要参数无技术资料支持的。</w:t>
      </w:r>
    </w:p>
    <w:p w14:paraId="37175F7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5.2.2  投标文件技术规格中一般参数超出允许偏离的最大范围或最高项数的。</w:t>
      </w:r>
    </w:p>
    <w:p w14:paraId="16B632E6">
      <w:pPr>
        <w:spacing w:line="500" w:lineRule="exact"/>
        <w:ind w:firstLine="560" w:firstLineChars="200"/>
        <w:rPr>
          <w:rFonts w:hint="eastAsia" w:ascii="仿宋" w:hAnsi="仿宋" w:eastAsia="仿宋"/>
          <w:spacing w:val="-20"/>
          <w:sz w:val="28"/>
          <w:szCs w:val="28"/>
        </w:rPr>
      </w:pPr>
      <w:r>
        <w:rPr>
          <w:rFonts w:hint="eastAsia" w:ascii="仿宋" w:hAnsi="仿宋" w:eastAsia="仿宋"/>
          <w:sz w:val="28"/>
          <w:szCs w:val="28"/>
        </w:rPr>
        <w:t xml:space="preserve"> 5.2.3  </w:t>
      </w:r>
      <w:r>
        <w:rPr>
          <w:rFonts w:hint="eastAsia" w:ascii="仿宋" w:hAnsi="仿宋" w:eastAsia="仿宋"/>
          <w:spacing w:val="-20"/>
          <w:sz w:val="28"/>
          <w:szCs w:val="28"/>
        </w:rPr>
        <w:t>投标文件技术规格中的响应与事实情况不符或虚假投标的。</w:t>
      </w:r>
    </w:p>
    <w:p w14:paraId="66CB4CC9">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5.</w:t>
      </w:r>
      <w:r>
        <w:rPr>
          <w:rFonts w:ascii="仿宋" w:hAnsi="仿宋" w:eastAsia="仿宋"/>
          <w:sz w:val="28"/>
          <w:szCs w:val="28"/>
        </w:rPr>
        <w:t xml:space="preserve">3  </w:t>
      </w:r>
      <w:r>
        <w:rPr>
          <w:rFonts w:hint="eastAsia" w:ascii="仿宋" w:hAnsi="仿宋" w:eastAsia="仿宋"/>
          <w:sz w:val="28"/>
          <w:szCs w:val="28"/>
        </w:rPr>
        <w:t>投标文件的澄清</w:t>
      </w:r>
    </w:p>
    <w:p w14:paraId="204DB3C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开标以后，招标人可针对投标文件的内容要求投标人澄清，澄清问题一般以澄清函的形式进行。澄清函有投标代表签字、投标人公章，形成投标文件的有效补充。澄清内容解释权归招标方。澄清不得对原投标文件作实质性修改。</w:t>
      </w:r>
    </w:p>
    <w:p w14:paraId="5FF7B82E">
      <w:pPr>
        <w:spacing w:line="500" w:lineRule="exact"/>
        <w:ind w:firstLine="562" w:firstLineChars="200"/>
        <w:rPr>
          <w:rFonts w:hint="eastAsia" w:ascii="仿宋" w:hAnsi="仿宋" w:eastAsia="仿宋"/>
          <w:b/>
          <w:bCs/>
          <w:sz w:val="28"/>
          <w:szCs w:val="28"/>
        </w:rPr>
      </w:pPr>
      <w:r>
        <w:rPr>
          <w:rFonts w:hint="eastAsia" w:ascii="仿宋" w:hAnsi="仿宋" w:eastAsia="仿宋"/>
          <w:b/>
          <w:bCs/>
          <w:sz w:val="28"/>
          <w:szCs w:val="28"/>
        </w:rPr>
        <w:t>三、评标办法</w:t>
      </w:r>
    </w:p>
    <w:p w14:paraId="3D61AE74">
      <w:pPr>
        <w:spacing w:line="500" w:lineRule="exact"/>
        <w:ind w:firstLine="560" w:firstLineChars="200"/>
        <w:rPr>
          <w:rFonts w:hint="eastAsia" w:ascii="仿宋" w:hAnsi="仿宋" w:eastAsia="仿宋"/>
          <w:color w:val="auto"/>
          <w:sz w:val="28"/>
          <w:szCs w:val="28"/>
        </w:rPr>
      </w:pPr>
      <w:r>
        <w:rPr>
          <w:rFonts w:hint="eastAsia" w:ascii="仿宋" w:hAnsi="仿宋" w:eastAsia="仿宋"/>
          <w:sz w:val="28"/>
          <w:szCs w:val="28"/>
        </w:rPr>
        <w:t>1、本次评标采用综合评比、评分。评标小组依照本细则，对所有有效投标文件的投标</w:t>
      </w:r>
      <w:r>
        <w:rPr>
          <w:rFonts w:hint="eastAsia" w:ascii="仿宋" w:hAnsi="仿宋" w:eastAsia="仿宋"/>
          <w:color w:val="auto"/>
          <w:sz w:val="28"/>
          <w:szCs w:val="28"/>
        </w:rPr>
        <w:t>价格、商务部分、技术部分进行审查、评比、评分。投标价格权重60%，商务部分权重10%，技术部分权重30%。</w:t>
      </w:r>
    </w:p>
    <w:p w14:paraId="676E67A3">
      <w:pPr>
        <w:spacing w:line="500" w:lineRule="exact"/>
        <w:ind w:firstLine="560" w:firstLineChars="200"/>
        <w:rPr>
          <w:rFonts w:hint="eastAsia" w:ascii="仿宋" w:hAnsi="仿宋" w:eastAsia="仿宋"/>
          <w:sz w:val="28"/>
          <w:szCs w:val="28"/>
        </w:rPr>
      </w:pPr>
      <w:r>
        <w:rPr>
          <w:rFonts w:ascii="仿宋" w:hAnsi="仿宋" w:eastAsia="仿宋"/>
          <w:color w:val="auto"/>
          <w:sz w:val="28"/>
          <w:szCs w:val="28"/>
        </w:rPr>
        <w:t>投标人综合得分=</w:t>
      </w:r>
      <w:r>
        <w:rPr>
          <w:rFonts w:hint="eastAsia" w:ascii="仿宋" w:hAnsi="仿宋" w:eastAsia="仿宋"/>
          <w:color w:val="auto"/>
          <w:sz w:val="28"/>
          <w:szCs w:val="28"/>
        </w:rPr>
        <w:t>投标价格</w:t>
      </w:r>
      <w:r>
        <w:rPr>
          <w:rFonts w:ascii="仿宋" w:hAnsi="仿宋" w:eastAsia="仿宋"/>
          <w:color w:val="auto"/>
          <w:sz w:val="28"/>
          <w:szCs w:val="28"/>
        </w:rPr>
        <w:t>得分</w:t>
      </w:r>
      <w:r>
        <w:rPr>
          <w:rFonts w:hint="eastAsia" w:ascii="仿宋" w:hAnsi="仿宋" w:eastAsia="仿宋"/>
          <w:color w:val="auto"/>
          <w:sz w:val="28"/>
          <w:szCs w:val="28"/>
        </w:rPr>
        <w:t>+商务部分</w:t>
      </w:r>
      <w:r>
        <w:rPr>
          <w:rFonts w:ascii="仿宋" w:hAnsi="仿宋" w:eastAsia="仿宋"/>
          <w:color w:val="auto"/>
          <w:sz w:val="28"/>
          <w:szCs w:val="28"/>
        </w:rPr>
        <w:t>得分＋</w:t>
      </w:r>
      <w:r>
        <w:rPr>
          <w:rFonts w:hint="eastAsia" w:ascii="仿宋" w:hAnsi="仿宋" w:eastAsia="仿宋"/>
          <w:color w:val="auto"/>
          <w:sz w:val="28"/>
          <w:szCs w:val="28"/>
        </w:rPr>
        <w:t>技术部</w:t>
      </w:r>
      <w:r>
        <w:rPr>
          <w:rFonts w:hint="eastAsia" w:ascii="仿宋" w:hAnsi="仿宋" w:eastAsia="仿宋"/>
          <w:sz w:val="28"/>
          <w:szCs w:val="28"/>
        </w:rPr>
        <w:t>分</w:t>
      </w:r>
      <w:r>
        <w:rPr>
          <w:rFonts w:ascii="仿宋" w:hAnsi="仿宋" w:eastAsia="仿宋"/>
          <w:sz w:val="28"/>
          <w:szCs w:val="28"/>
        </w:rPr>
        <w:t>得分</w:t>
      </w:r>
      <w:r>
        <w:rPr>
          <w:rFonts w:hint="eastAsia" w:ascii="仿宋" w:hAnsi="仿宋" w:eastAsia="仿宋"/>
          <w:sz w:val="28"/>
          <w:szCs w:val="28"/>
        </w:rPr>
        <w:t>。</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各投标人的投标价格得分按以下公式计算：</w:t>
      </w:r>
    </w:p>
    <w:p w14:paraId="118ACDB5">
      <w:pPr>
        <w:spacing w:before="180" w:beforeLines="75" w:after="180" w:afterLines="75" w:line="500" w:lineRule="exact"/>
        <w:ind w:firstLine="840" w:firstLineChars="300"/>
        <w:rPr>
          <w:rFonts w:hint="eastAsia" w:ascii="仿宋" w:hAnsi="仿宋" w:eastAsia="仿宋"/>
          <w:sz w:val="28"/>
          <w:szCs w:val="28"/>
        </w:rPr>
      </w:pPr>
      <w:r>
        <w:rPr>
          <w:rFonts w:hint="eastAsia" w:ascii="仿宋" w:hAnsi="仿宋" w:eastAsia="仿宋"/>
          <w:sz w:val="28"/>
          <w:szCs w:val="28"/>
        </w:rPr>
        <w:t xml:space="preserve">C＝60-10×（P-PMIN）/（PMAX-PMIN） </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p>
    <w:p w14:paraId="1502450A">
      <w:pPr>
        <w:spacing w:before="180" w:beforeLines="75" w:after="180" w:afterLines="75" w:line="500" w:lineRule="exact"/>
        <w:ind w:left="630" w:leftChars="300"/>
        <w:rPr>
          <w:rFonts w:hint="eastAsia" w:ascii="仿宋" w:hAnsi="仿宋" w:eastAsia="仿宋"/>
          <w:sz w:val="28"/>
          <w:szCs w:val="28"/>
        </w:rPr>
      </w:pPr>
      <w:r>
        <w:rPr>
          <w:rFonts w:hint="eastAsia" w:ascii="仿宋" w:hAnsi="仿宋" w:eastAsia="仿宋"/>
          <w:sz w:val="28"/>
          <w:szCs w:val="28"/>
        </w:rPr>
        <w:t xml:space="preserve">C：投标人的投标价格得分。 </w:t>
      </w:r>
      <w:r>
        <w:rPr>
          <w:rFonts w:ascii="仿宋" w:hAnsi="仿宋" w:eastAsia="仿宋"/>
          <w:sz w:val="28"/>
          <w:szCs w:val="28"/>
        </w:rPr>
        <w:t xml:space="preserve">   </w:t>
      </w:r>
      <w:r>
        <w:rPr>
          <w:rFonts w:ascii="仿宋" w:hAnsi="仿宋" w:eastAsia="仿宋"/>
          <w:sz w:val="28"/>
          <w:szCs w:val="28"/>
        </w:rPr>
        <w:tab/>
      </w:r>
      <w:r>
        <w:rPr>
          <w:rFonts w:hint="eastAsia" w:ascii="仿宋" w:hAnsi="仿宋" w:eastAsia="仿宋"/>
          <w:sz w:val="28"/>
          <w:szCs w:val="28"/>
        </w:rPr>
        <w:t>P：投标价格。</w:t>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ab/>
      </w:r>
      <w:r>
        <w:rPr>
          <w:rFonts w:ascii="仿宋" w:hAnsi="仿宋" w:eastAsia="仿宋"/>
          <w:sz w:val="28"/>
          <w:szCs w:val="28"/>
        </w:rPr>
        <w:t xml:space="preserve"> </w:t>
      </w:r>
      <w:r>
        <w:rPr>
          <w:rFonts w:hint="eastAsia" w:ascii="仿宋" w:hAnsi="仿宋" w:eastAsia="仿宋"/>
          <w:sz w:val="28"/>
          <w:szCs w:val="28"/>
        </w:rPr>
        <w:t>PMIN：最低投标价格</w:t>
      </w:r>
      <w:r>
        <w:rPr>
          <w:rFonts w:hint="eastAsia" w:ascii="宋体" w:hAnsi="宋体"/>
          <w:szCs w:val="21"/>
        </w:rPr>
        <w:t xml:space="preserve">。 </w:t>
      </w:r>
      <w:r>
        <w:rPr>
          <w:rFonts w:ascii="宋体" w:hAnsi="宋体"/>
          <w:szCs w:val="21"/>
        </w:rPr>
        <w:t xml:space="preserve">            </w:t>
      </w:r>
      <w:r>
        <w:rPr>
          <w:rFonts w:hint="eastAsia" w:ascii="仿宋" w:hAnsi="仿宋" w:eastAsia="仿宋"/>
          <w:sz w:val="28"/>
          <w:szCs w:val="28"/>
        </w:rPr>
        <w:t>PMAX：最高投标价格</w:t>
      </w:r>
    </w:p>
    <w:p w14:paraId="131F5186">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2、评标小组全体成员对每个投标人进行审查、评比、评分，各投标单位在都能满足招标文件及甲方使用需求的情况下，</w:t>
      </w:r>
      <w:r>
        <w:rPr>
          <w:rFonts w:hint="eastAsia" w:ascii="仿宋" w:hAnsi="仿宋" w:eastAsia="仿宋"/>
          <w:sz w:val="28"/>
          <w:szCs w:val="28"/>
          <w:u w:val="single"/>
        </w:rPr>
        <w:t>综合评分高者优先列为中标候选单位</w:t>
      </w:r>
      <w:r>
        <w:rPr>
          <w:rFonts w:hint="eastAsia" w:ascii="仿宋" w:hAnsi="仿宋" w:eastAsia="仿宋"/>
          <w:sz w:val="28"/>
          <w:szCs w:val="28"/>
        </w:rPr>
        <w:t>。</w:t>
      </w:r>
    </w:p>
    <w:p w14:paraId="338740B2">
      <w:pPr>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3、评标活动中发现有争议的内容时，按照少数服从多数的原则，由评标小组确定。</w:t>
      </w:r>
    </w:p>
    <w:p w14:paraId="66C9BD49">
      <w:pPr>
        <w:spacing w:line="500" w:lineRule="exact"/>
        <w:ind w:firstLine="560" w:firstLineChars="200"/>
        <w:rPr>
          <w:rFonts w:hint="eastAsia" w:ascii="仿宋" w:hAnsi="仿宋" w:eastAsia="仿宋"/>
          <w:sz w:val="28"/>
          <w:szCs w:val="28"/>
        </w:rPr>
      </w:pPr>
      <w:r>
        <w:rPr>
          <w:rFonts w:ascii="仿宋" w:hAnsi="仿宋" w:eastAsia="仿宋"/>
          <w:sz w:val="28"/>
          <w:szCs w:val="28"/>
        </w:rPr>
        <w:t>4</w:t>
      </w:r>
      <w:r>
        <w:rPr>
          <w:rFonts w:hint="eastAsia" w:ascii="仿宋" w:hAnsi="仿宋" w:eastAsia="仿宋"/>
          <w:sz w:val="28"/>
          <w:szCs w:val="28"/>
        </w:rPr>
        <w:t>、经评标小组全体认定低于成本价的投标，将被废标。其报价不作为评分依据。</w:t>
      </w:r>
    </w:p>
    <w:p w14:paraId="646F8471">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5、商务部分评分表（10分）</w:t>
      </w:r>
    </w:p>
    <w:p w14:paraId="2538C49C">
      <w:pPr>
        <w:spacing w:line="160" w:lineRule="exact"/>
        <w:ind w:firstLine="560" w:firstLineChars="200"/>
        <w:rPr>
          <w:rFonts w:hint="eastAsia" w:ascii="仿宋" w:hAnsi="仿宋" w:eastAsia="仿宋"/>
          <w:sz w:val="28"/>
          <w:szCs w:val="28"/>
        </w:rPr>
      </w:pPr>
    </w:p>
    <w:tbl>
      <w:tblPr>
        <w:tblStyle w:val="5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691"/>
        <w:gridCol w:w="1134"/>
        <w:gridCol w:w="709"/>
        <w:gridCol w:w="4961"/>
      </w:tblGrid>
      <w:tr w14:paraId="3FA4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714" w:type="dxa"/>
            <w:vAlign w:val="center"/>
          </w:tcPr>
          <w:p w14:paraId="0DDB5B2F">
            <w:pPr>
              <w:jc w:val="center"/>
              <w:rPr>
                <w:rFonts w:hint="eastAsia" w:ascii="仿宋" w:hAnsi="仿宋" w:eastAsia="仿宋" w:cs="仿宋"/>
                <w:sz w:val="22"/>
              </w:rPr>
            </w:pPr>
            <w:r>
              <w:rPr>
                <w:rFonts w:hint="eastAsia" w:ascii="仿宋" w:hAnsi="仿宋" w:eastAsia="仿宋" w:cs="仿宋"/>
                <w:sz w:val="22"/>
              </w:rPr>
              <w:t>序号</w:t>
            </w:r>
          </w:p>
        </w:tc>
        <w:tc>
          <w:tcPr>
            <w:tcW w:w="1691" w:type="dxa"/>
            <w:vAlign w:val="center"/>
          </w:tcPr>
          <w:p w14:paraId="3345CAA1">
            <w:pPr>
              <w:jc w:val="center"/>
              <w:rPr>
                <w:rFonts w:hint="eastAsia" w:ascii="仿宋" w:hAnsi="仿宋" w:eastAsia="仿宋" w:cs="仿宋"/>
                <w:sz w:val="22"/>
              </w:rPr>
            </w:pPr>
            <w:r>
              <w:rPr>
                <w:rFonts w:hint="eastAsia" w:ascii="仿宋" w:hAnsi="仿宋" w:eastAsia="仿宋" w:cs="仿宋"/>
                <w:sz w:val="22"/>
              </w:rPr>
              <w:t>评分因素</w:t>
            </w:r>
          </w:p>
        </w:tc>
        <w:tc>
          <w:tcPr>
            <w:tcW w:w="1134" w:type="dxa"/>
            <w:vAlign w:val="center"/>
          </w:tcPr>
          <w:p w14:paraId="177B50F1">
            <w:pPr>
              <w:jc w:val="center"/>
              <w:rPr>
                <w:rFonts w:hint="eastAsia" w:ascii="仿宋" w:hAnsi="仿宋" w:eastAsia="仿宋" w:cs="仿宋"/>
                <w:sz w:val="22"/>
              </w:rPr>
            </w:pPr>
            <w:r>
              <w:rPr>
                <w:rFonts w:hint="eastAsia" w:ascii="仿宋" w:hAnsi="仿宋" w:eastAsia="仿宋" w:cs="仿宋"/>
                <w:sz w:val="22"/>
              </w:rPr>
              <w:t>考核内容</w:t>
            </w:r>
          </w:p>
        </w:tc>
        <w:tc>
          <w:tcPr>
            <w:tcW w:w="709" w:type="dxa"/>
            <w:vAlign w:val="center"/>
          </w:tcPr>
          <w:p w14:paraId="70DCE7D8">
            <w:pPr>
              <w:jc w:val="center"/>
              <w:rPr>
                <w:rFonts w:hint="eastAsia" w:ascii="仿宋" w:hAnsi="仿宋" w:eastAsia="仿宋" w:cs="仿宋"/>
                <w:sz w:val="22"/>
              </w:rPr>
            </w:pPr>
            <w:r>
              <w:rPr>
                <w:rFonts w:hint="eastAsia" w:ascii="仿宋" w:hAnsi="仿宋" w:eastAsia="仿宋" w:cs="仿宋"/>
                <w:sz w:val="22"/>
              </w:rPr>
              <w:t>标准分</w:t>
            </w:r>
          </w:p>
        </w:tc>
        <w:tc>
          <w:tcPr>
            <w:tcW w:w="4961" w:type="dxa"/>
            <w:vAlign w:val="center"/>
          </w:tcPr>
          <w:p w14:paraId="65B72F72">
            <w:pPr>
              <w:jc w:val="center"/>
              <w:rPr>
                <w:rFonts w:hint="eastAsia" w:ascii="仿宋" w:hAnsi="仿宋" w:eastAsia="仿宋" w:cs="仿宋"/>
                <w:sz w:val="22"/>
              </w:rPr>
            </w:pPr>
            <w:r>
              <w:rPr>
                <w:rFonts w:hint="eastAsia" w:ascii="仿宋" w:hAnsi="仿宋" w:eastAsia="仿宋" w:cs="仿宋"/>
                <w:sz w:val="22"/>
              </w:rPr>
              <w:t>评分标准说明</w:t>
            </w:r>
          </w:p>
        </w:tc>
      </w:tr>
      <w:tr w14:paraId="795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exact"/>
          <w:jc w:val="center"/>
        </w:trPr>
        <w:tc>
          <w:tcPr>
            <w:tcW w:w="714" w:type="dxa"/>
            <w:vAlign w:val="center"/>
          </w:tcPr>
          <w:p w14:paraId="13337B1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1691" w:type="dxa"/>
            <w:vAlign w:val="center"/>
          </w:tcPr>
          <w:p w14:paraId="3904CEE2">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财务状况（1.5分）</w:t>
            </w:r>
          </w:p>
        </w:tc>
        <w:tc>
          <w:tcPr>
            <w:tcW w:w="1134" w:type="dxa"/>
            <w:vAlign w:val="center"/>
          </w:tcPr>
          <w:p w14:paraId="0881852D">
            <w:pPr>
              <w:spacing w:line="240" w:lineRule="exact"/>
              <w:rPr>
                <w:rFonts w:hint="eastAsia" w:ascii="仿宋" w:hAnsi="仿宋" w:eastAsia="仿宋" w:cs="仿宋"/>
                <w:sz w:val="18"/>
                <w:szCs w:val="18"/>
              </w:rPr>
            </w:pPr>
            <w:r>
              <w:rPr>
                <w:rFonts w:hint="eastAsia" w:ascii="仿宋" w:hAnsi="仿宋" w:eastAsia="仿宋" w:cs="仿宋"/>
                <w:sz w:val="18"/>
                <w:szCs w:val="18"/>
              </w:rPr>
              <w:t>财务状况</w:t>
            </w:r>
          </w:p>
        </w:tc>
        <w:tc>
          <w:tcPr>
            <w:tcW w:w="709" w:type="dxa"/>
            <w:vAlign w:val="center"/>
          </w:tcPr>
          <w:p w14:paraId="6BDED75A">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5EF886E3">
            <w:pPr>
              <w:snapToGrid w:val="0"/>
              <w:spacing w:line="240" w:lineRule="exact"/>
              <w:rPr>
                <w:rFonts w:hint="eastAsia" w:ascii="仿宋" w:hAnsi="仿宋" w:eastAsia="仿宋"/>
                <w:sz w:val="18"/>
                <w:szCs w:val="18"/>
              </w:rPr>
            </w:pPr>
            <w:r>
              <w:rPr>
                <w:rFonts w:hint="eastAsia" w:ascii="仿宋" w:hAnsi="仿宋" w:eastAsia="仿宋"/>
                <w:sz w:val="18"/>
                <w:szCs w:val="18"/>
              </w:rPr>
              <w:t>投标人提供近三年（2022年度、2023年度、2024年度）完整审计报告，企业连续三年均盈利得1.5分，两年（含两年）显示盈利得1分，两年以下显示盈利得0分。</w:t>
            </w:r>
          </w:p>
          <w:p w14:paraId="7F5BA194">
            <w:pPr>
              <w:spacing w:line="240" w:lineRule="exact"/>
              <w:rPr>
                <w:rFonts w:hint="eastAsia" w:ascii="仿宋" w:hAnsi="仿宋" w:eastAsia="仿宋" w:cs="仿宋"/>
                <w:sz w:val="18"/>
                <w:szCs w:val="18"/>
              </w:rPr>
            </w:pPr>
            <w:r>
              <w:rPr>
                <w:rFonts w:hint="eastAsia" w:ascii="仿宋" w:hAnsi="仿宋" w:eastAsia="仿宋"/>
                <w:sz w:val="18"/>
                <w:szCs w:val="18"/>
              </w:rPr>
              <w:t>（须在投标文件中附审计报告的复印件并加盖公章，否则不得分，公司成立不足3年的评审标准同上。）</w:t>
            </w:r>
          </w:p>
        </w:tc>
      </w:tr>
      <w:tr w14:paraId="68B1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714" w:type="dxa"/>
            <w:vAlign w:val="center"/>
          </w:tcPr>
          <w:p w14:paraId="759AC536">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1691" w:type="dxa"/>
            <w:vAlign w:val="center"/>
          </w:tcPr>
          <w:p w14:paraId="4D8CA286">
            <w:pPr>
              <w:snapToGrid w:val="0"/>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体系认证证书</w:t>
            </w:r>
            <w:r>
              <w:rPr>
                <w:rFonts w:ascii="仿宋" w:hAnsi="仿宋" w:eastAsia="仿宋" w:cs="仿宋"/>
                <w:sz w:val="18"/>
                <w:szCs w:val="18"/>
              </w:rPr>
              <w:t>（</w:t>
            </w:r>
            <w:r>
              <w:rPr>
                <w:rFonts w:hint="eastAsia" w:ascii="仿宋" w:hAnsi="仿宋" w:eastAsia="仿宋" w:cs="仿宋"/>
                <w:sz w:val="18"/>
                <w:szCs w:val="18"/>
              </w:rPr>
              <w:t>1.5</w:t>
            </w:r>
            <w:r>
              <w:rPr>
                <w:rFonts w:ascii="仿宋" w:hAnsi="仿宋" w:eastAsia="仿宋" w:cs="仿宋"/>
                <w:sz w:val="18"/>
                <w:szCs w:val="18"/>
              </w:rPr>
              <w:t>分）</w:t>
            </w:r>
          </w:p>
        </w:tc>
        <w:tc>
          <w:tcPr>
            <w:tcW w:w="1134" w:type="dxa"/>
            <w:vAlign w:val="center"/>
          </w:tcPr>
          <w:p w14:paraId="2743DCE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体系认证</w:t>
            </w:r>
          </w:p>
        </w:tc>
        <w:tc>
          <w:tcPr>
            <w:tcW w:w="709" w:type="dxa"/>
            <w:vAlign w:val="center"/>
          </w:tcPr>
          <w:p w14:paraId="717E44CF">
            <w:pPr>
              <w:spacing w:line="240" w:lineRule="exact"/>
              <w:jc w:val="center"/>
              <w:rPr>
                <w:rFonts w:hint="eastAsia" w:ascii="仿宋" w:hAnsi="仿宋" w:eastAsia="仿宋" w:cs="仿宋"/>
                <w:sz w:val="18"/>
                <w:szCs w:val="18"/>
              </w:rPr>
            </w:pPr>
          </w:p>
          <w:p w14:paraId="1422B09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11DC456E">
            <w:pPr>
              <w:snapToGrid w:val="0"/>
              <w:spacing w:line="240" w:lineRule="exact"/>
              <w:jc w:val="left"/>
              <w:rPr>
                <w:rFonts w:hint="eastAsia" w:ascii="仿宋" w:hAnsi="仿宋" w:eastAsia="仿宋" w:cs="仿宋"/>
                <w:sz w:val="18"/>
                <w:szCs w:val="18"/>
              </w:rPr>
            </w:pPr>
            <w:r>
              <w:rPr>
                <w:rFonts w:ascii="仿宋" w:hAnsi="仿宋" w:eastAsia="仿宋" w:cs="仿宋"/>
                <w:sz w:val="18"/>
                <w:szCs w:val="18"/>
              </w:rPr>
              <w:t>投标人具有质量管理体系认证证书、环境管理体系认证证书、职业健康安全管理体系认证证书</w:t>
            </w:r>
            <w:r>
              <w:rPr>
                <w:rFonts w:hint="eastAsia" w:ascii="仿宋" w:hAnsi="仿宋" w:eastAsia="仿宋" w:cs="仿宋"/>
                <w:sz w:val="18"/>
                <w:szCs w:val="18"/>
              </w:rPr>
              <w:t>，</w:t>
            </w:r>
            <w:r>
              <w:rPr>
                <w:rFonts w:ascii="仿宋" w:hAnsi="仿宋" w:eastAsia="仿宋" w:cs="仿宋"/>
                <w:sz w:val="18"/>
                <w:szCs w:val="18"/>
              </w:rPr>
              <w:t>且都在有效期内</w:t>
            </w:r>
            <w:r>
              <w:rPr>
                <w:rFonts w:hint="eastAsia" w:ascii="仿宋" w:hAnsi="仿宋" w:eastAsia="仿宋" w:cs="仿宋"/>
                <w:sz w:val="18"/>
                <w:szCs w:val="18"/>
              </w:rPr>
              <w:t>的</w:t>
            </w:r>
            <w:r>
              <w:rPr>
                <w:rFonts w:ascii="仿宋" w:hAnsi="仿宋" w:eastAsia="仿宋" w:cs="仿宋"/>
                <w:sz w:val="18"/>
                <w:szCs w:val="18"/>
              </w:rPr>
              <w:t>。以上证书</w:t>
            </w:r>
            <w:r>
              <w:rPr>
                <w:rFonts w:hint="eastAsia" w:ascii="仿宋" w:hAnsi="仿宋" w:eastAsia="仿宋" w:cs="仿宋"/>
                <w:sz w:val="18"/>
                <w:szCs w:val="18"/>
              </w:rPr>
              <w:t>每具备一个</w:t>
            </w:r>
            <w:r>
              <w:rPr>
                <w:rFonts w:ascii="仿宋" w:hAnsi="仿宋" w:eastAsia="仿宋" w:cs="仿宋"/>
                <w:sz w:val="18"/>
                <w:szCs w:val="18"/>
              </w:rPr>
              <w:t>得</w:t>
            </w:r>
            <w:r>
              <w:rPr>
                <w:rFonts w:hint="eastAsia" w:ascii="仿宋" w:hAnsi="仿宋" w:eastAsia="仿宋" w:cs="仿宋"/>
                <w:sz w:val="18"/>
                <w:szCs w:val="18"/>
              </w:rPr>
              <w:t>0.5</w:t>
            </w:r>
            <w:r>
              <w:rPr>
                <w:rFonts w:ascii="仿宋" w:hAnsi="仿宋" w:eastAsia="仿宋" w:cs="仿宋"/>
                <w:sz w:val="18"/>
                <w:szCs w:val="18"/>
              </w:rPr>
              <w:t>分</w:t>
            </w:r>
            <w:r>
              <w:rPr>
                <w:rFonts w:hint="eastAsia" w:ascii="仿宋" w:hAnsi="仿宋" w:eastAsia="仿宋" w:cs="仿宋"/>
                <w:sz w:val="18"/>
                <w:szCs w:val="18"/>
              </w:rPr>
              <w:t>，否则不得分。</w:t>
            </w:r>
          </w:p>
          <w:p w14:paraId="4A603A84">
            <w:pPr>
              <w:spacing w:line="240" w:lineRule="exact"/>
              <w:rPr>
                <w:rFonts w:hint="eastAsia" w:ascii="仿宋" w:hAnsi="仿宋" w:eastAsia="仿宋" w:cs="仿宋"/>
                <w:sz w:val="18"/>
                <w:szCs w:val="18"/>
              </w:rPr>
            </w:pPr>
            <w:r>
              <w:rPr>
                <w:rFonts w:ascii="仿宋" w:hAnsi="仿宋" w:eastAsia="仿宋" w:cs="仿宋"/>
                <w:sz w:val="18"/>
                <w:szCs w:val="18"/>
              </w:rPr>
              <w:t>（须在投标文件中附证书复印件和国家认证认可监督管理委员会网站（www.cnca.gov.cn）上的查询截图并加盖公章，否则不得分。）</w:t>
            </w:r>
          </w:p>
        </w:tc>
      </w:tr>
      <w:tr w14:paraId="5D36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exact"/>
          <w:jc w:val="center"/>
        </w:trPr>
        <w:tc>
          <w:tcPr>
            <w:tcW w:w="714" w:type="dxa"/>
            <w:vAlign w:val="center"/>
          </w:tcPr>
          <w:p w14:paraId="06CF277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3</w:t>
            </w:r>
          </w:p>
        </w:tc>
        <w:tc>
          <w:tcPr>
            <w:tcW w:w="1691" w:type="dxa"/>
            <w:vAlign w:val="center"/>
          </w:tcPr>
          <w:p w14:paraId="54293DC5">
            <w:pPr>
              <w:snapToGrid w:val="0"/>
              <w:spacing w:line="240" w:lineRule="exact"/>
              <w:jc w:val="center"/>
              <w:rPr>
                <w:rFonts w:hint="eastAsia" w:ascii="仿宋" w:hAnsi="仿宋" w:eastAsia="仿宋"/>
                <w:sz w:val="18"/>
                <w:szCs w:val="18"/>
              </w:rPr>
            </w:pPr>
            <w:r>
              <w:rPr>
                <w:rFonts w:ascii="仿宋" w:hAnsi="仿宋" w:eastAsia="仿宋"/>
                <w:sz w:val="18"/>
                <w:szCs w:val="18"/>
              </w:rPr>
              <w:t>信用评价</w:t>
            </w:r>
          </w:p>
          <w:p w14:paraId="4D3383F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（1.5分）</w:t>
            </w:r>
          </w:p>
        </w:tc>
        <w:tc>
          <w:tcPr>
            <w:tcW w:w="1134" w:type="dxa"/>
            <w:vAlign w:val="center"/>
          </w:tcPr>
          <w:p w14:paraId="4C5B3715">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信用</w:t>
            </w:r>
          </w:p>
        </w:tc>
        <w:tc>
          <w:tcPr>
            <w:tcW w:w="709" w:type="dxa"/>
            <w:vAlign w:val="center"/>
          </w:tcPr>
          <w:p w14:paraId="625D06F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1.5</w:t>
            </w:r>
          </w:p>
        </w:tc>
        <w:tc>
          <w:tcPr>
            <w:tcW w:w="4961" w:type="dxa"/>
            <w:vAlign w:val="center"/>
          </w:tcPr>
          <w:p w14:paraId="25E1A9AC">
            <w:pPr>
              <w:snapToGrid w:val="0"/>
              <w:spacing w:line="240" w:lineRule="exact"/>
              <w:rPr>
                <w:rFonts w:hint="eastAsia" w:ascii="仿宋" w:hAnsi="仿宋" w:eastAsia="仿宋" w:cs="仿宋"/>
                <w:sz w:val="18"/>
                <w:szCs w:val="18"/>
              </w:rPr>
            </w:pPr>
            <w:r>
              <w:rPr>
                <w:rFonts w:ascii="仿宋" w:hAnsi="仿宋" w:eastAsia="仿宋" w:cs="仿宋"/>
                <w:sz w:val="18"/>
                <w:szCs w:val="18"/>
              </w:rPr>
              <w:t>20</w:t>
            </w:r>
            <w:r>
              <w:rPr>
                <w:rFonts w:hint="eastAsia" w:ascii="仿宋" w:hAnsi="仿宋" w:eastAsia="仿宋" w:cs="仿宋"/>
                <w:sz w:val="18"/>
                <w:szCs w:val="18"/>
              </w:rPr>
              <w:t>22</w:t>
            </w:r>
            <w:r>
              <w:rPr>
                <w:rFonts w:ascii="仿宋" w:hAnsi="仿宋" w:eastAsia="仿宋" w:cs="仿宋"/>
                <w:sz w:val="18"/>
                <w:szCs w:val="18"/>
              </w:rPr>
              <w:t>年以来连续三年被评为AAA级的企业得</w:t>
            </w:r>
            <w:r>
              <w:rPr>
                <w:rFonts w:hint="eastAsia" w:ascii="仿宋" w:hAnsi="仿宋" w:eastAsia="仿宋" w:cs="仿宋"/>
                <w:sz w:val="18"/>
                <w:szCs w:val="18"/>
              </w:rPr>
              <w:t>1.5</w:t>
            </w:r>
            <w:r>
              <w:rPr>
                <w:rFonts w:ascii="仿宋" w:hAnsi="仿宋" w:eastAsia="仿宋" w:cs="仿宋"/>
                <w:sz w:val="18"/>
                <w:szCs w:val="18"/>
              </w:rPr>
              <w:t>分；连续两年被评为AAA级的企业得</w:t>
            </w:r>
            <w:r>
              <w:rPr>
                <w:rFonts w:hint="eastAsia" w:ascii="仿宋" w:hAnsi="仿宋" w:eastAsia="仿宋" w:cs="仿宋"/>
                <w:sz w:val="18"/>
                <w:szCs w:val="18"/>
              </w:rPr>
              <w:t>1</w:t>
            </w:r>
            <w:r>
              <w:rPr>
                <w:rFonts w:ascii="仿宋" w:hAnsi="仿宋" w:eastAsia="仿宋" w:cs="仿宋"/>
                <w:sz w:val="18"/>
                <w:szCs w:val="18"/>
              </w:rPr>
              <w:t>分；一年内被评为AAA级的企业得</w:t>
            </w:r>
            <w:r>
              <w:rPr>
                <w:rFonts w:hint="eastAsia" w:ascii="仿宋" w:hAnsi="仿宋" w:eastAsia="仿宋" w:cs="仿宋"/>
                <w:sz w:val="18"/>
                <w:szCs w:val="18"/>
              </w:rPr>
              <w:t>0.5</w:t>
            </w:r>
            <w:r>
              <w:rPr>
                <w:rFonts w:ascii="仿宋" w:hAnsi="仿宋" w:eastAsia="仿宋" w:cs="仿宋"/>
                <w:sz w:val="18"/>
                <w:szCs w:val="18"/>
              </w:rPr>
              <w:t>分。（须</w:t>
            </w:r>
            <w:r>
              <w:rPr>
                <w:rFonts w:hint="eastAsia" w:ascii="仿宋" w:hAnsi="仿宋" w:eastAsia="仿宋" w:cs="仿宋"/>
                <w:sz w:val="18"/>
                <w:szCs w:val="18"/>
              </w:rPr>
              <w:t>在</w:t>
            </w:r>
            <w:r>
              <w:rPr>
                <w:rFonts w:ascii="仿宋" w:hAnsi="仿宋" w:eastAsia="仿宋" w:cs="仿宋"/>
                <w:sz w:val="18"/>
                <w:szCs w:val="18"/>
              </w:rPr>
              <w:t>投标文件中附以上证件复印件并加盖公章，否则不得分。）</w:t>
            </w:r>
          </w:p>
        </w:tc>
      </w:tr>
      <w:tr w14:paraId="2712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exact"/>
          <w:jc w:val="center"/>
        </w:trPr>
        <w:tc>
          <w:tcPr>
            <w:tcW w:w="714" w:type="dxa"/>
            <w:vMerge w:val="restart"/>
            <w:vAlign w:val="center"/>
          </w:tcPr>
          <w:p w14:paraId="1D5C31CF">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4</w:t>
            </w:r>
          </w:p>
        </w:tc>
        <w:tc>
          <w:tcPr>
            <w:tcW w:w="1691" w:type="dxa"/>
            <w:vMerge w:val="restart"/>
            <w:vAlign w:val="center"/>
          </w:tcPr>
          <w:p w14:paraId="74EF9149">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w:t>
            </w:r>
          </w:p>
          <w:p w14:paraId="25A59B7A">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（1.5分）</w:t>
            </w:r>
          </w:p>
        </w:tc>
        <w:tc>
          <w:tcPr>
            <w:tcW w:w="1134" w:type="dxa"/>
            <w:vAlign w:val="center"/>
          </w:tcPr>
          <w:p w14:paraId="5D4A57D5">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合同设备交货进度</w:t>
            </w:r>
          </w:p>
        </w:tc>
        <w:tc>
          <w:tcPr>
            <w:tcW w:w="709" w:type="dxa"/>
            <w:vAlign w:val="center"/>
          </w:tcPr>
          <w:p w14:paraId="08186F4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2C71DC06">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72F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exact"/>
          <w:jc w:val="center"/>
        </w:trPr>
        <w:tc>
          <w:tcPr>
            <w:tcW w:w="714" w:type="dxa"/>
            <w:vMerge w:val="continue"/>
            <w:vAlign w:val="center"/>
          </w:tcPr>
          <w:p w14:paraId="0EE5D574">
            <w:pPr>
              <w:spacing w:line="240" w:lineRule="exact"/>
              <w:jc w:val="center"/>
              <w:rPr>
                <w:rFonts w:hint="eastAsia" w:ascii="仿宋" w:hAnsi="仿宋" w:eastAsia="仿宋" w:cs="仿宋"/>
                <w:sz w:val="18"/>
                <w:szCs w:val="18"/>
              </w:rPr>
            </w:pPr>
          </w:p>
        </w:tc>
        <w:tc>
          <w:tcPr>
            <w:tcW w:w="1691" w:type="dxa"/>
            <w:vMerge w:val="continue"/>
            <w:vAlign w:val="center"/>
          </w:tcPr>
          <w:p w14:paraId="223A7D96">
            <w:pPr>
              <w:snapToGrid w:val="0"/>
              <w:spacing w:line="240" w:lineRule="exact"/>
              <w:jc w:val="center"/>
              <w:rPr>
                <w:rFonts w:hint="eastAsia" w:ascii="仿宋" w:hAnsi="仿宋" w:eastAsia="仿宋"/>
                <w:sz w:val="18"/>
                <w:szCs w:val="18"/>
              </w:rPr>
            </w:pPr>
          </w:p>
        </w:tc>
        <w:tc>
          <w:tcPr>
            <w:tcW w:w="1134" w:type="dxa"/>
            <w:vAlign w:val="center"/>
          </w:tcPr>
          <w:p w14:paraId="38F0B10B">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技术资料交付进度</w:t>
            </w:r>
          </w:p>
        </w:tc>
        <w:tc>
          <w:tcPr>
            <w:tcW w:w="709" w:type="dxa"/>
            <w:vAlign w:val="center"/>
          </w:tcPr>
          <w:p w14:paraId="04C4CCC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0CF01F8C">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094E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714" w:type="dxa"/>
            <w:vMerge w:val="continue"/>
            <w:vAlign w:val="center"/>
          </w:tcPr>
          <w:p w14:paraId="07221B95">
            <w:pPr>
              <w:spacing w:line="240" w:lineRule="exact"/>
              <w:jc w:val="center"/>
              <w:rPr>
                <w:rFonts w:hint="eastAsia" w:ascii="仿宋" w:hAnsi="仿宋" w:eastAsia="仿宋" w:cs="仿宋"/>
                <w:sz w:val="18"/>
                <w:szCs w:val="18"/>
              </w:rPr>
            </w:pPr>
          </w:p>
        </w:tc>
        <w:tc>
          <w:tcPr>
            <w:tcW w:w="1691" w:type="dxa"/>
            <w:vMerge w:val="continue"/>
            <w:vAlign w:val="center"/>
          </w:tcPr>
          <w:p w14:paraId="4288CC1D">
            <w:pPr>
              <w:snapToGrid w:val="0"/>
              <w:spacing w:line="240" w:lineRule="exact"/>
              <w:jc w:val="center"/>
              <w:rPr>
                <w:rFonts w:hint="eastAsia" w:ascii="仿宋" w:hAnsi="仿宋" w:eastAsia="仿宋"/>
                <w:sz w:val="18"/>
                <w:szCs w:val="18"/>
              </w:rPr>
            </w:pPr>
          </w:p>
        </w:tc>
        <w:tc>
          <w:tcPr>
            <w:tcW w:w="1134" w:type="dxa"/>
            <w:vAlign w:val="center"/>
          </w:tcPr>
          <w:p w14:paraId="150B5C1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进度保证及相应措施</w:t>
            </w:r>
          </w:p>
        </w:tc>
        <w:tc>
          <w:tcPr>
            <w:tcW w:w="709" w:type="dxa"/>
            <w:vAlign w:val="center"/>
          </w:tcPr>
          <w:p w14:paraId="6FD892E1">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0.5</w:t>
            </w:r>
          </w:p>
        </w:tc>
        <w:tc>
          <w:tcPr>
            <w:tcW w:w="4961" w:type="dxa"/>
            <w:vAlign w:val="center"/>
          </w:tcPr>
          <w:p w14:paraId="6287A83D">
            <w:pPr>
              <w:snapToGrid w:val="0"/>
              <w:spacing w:line="240" w:lineRule="exact"/>
              <w:rPr>
                <w:rFonts w:hint="eastAsia" w:ascii="仿宋" w:hAnsi="仿宋" w:eastAsia="仿宋" w:cs="仿宋"/>
                <w:sz w:val="18"/>
                <w:szCs w:val="18"/>
              </w:rPr>
            </w:pPr>
            <w:r>
              <w:rPr>
                <w:rFonts w:hint="eastAsia" w:ascii="仿宋" w:hAnsi="仿宋" w:eastAsia="仿宋" w:cs="仿宋"/>
                <w:sz w:val="18"/>
                <w:szCs w:val="18"/>
              </w:rPr>
              <w:t>依据投标人差异评分，0-0.5分。</w:t>
            </w:r>
          </w:p>
        </w:tc>
      </w:tr>
      <w:tr w14:paraId="6860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jc w:val="center"/>
        </w:trPr>
        <w:tc>
          <w:tcPr>
            <w:tcW w:w="714" w:type="dxa"/>
            <w:vAlign w:val="center"/>
          </w:tcPr>
          <w:p w14:paraId="1411DF9A">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5</w:t>
            </w:r>
          </w:p>
        </w:tc>
        <w:tc>
          <w:tcPr>
            <w:tcW w:w="1691" w:type="dxa"/>
            <w:vAlign w:val="center"/>
          </w:tcPr>
          <w:p w14:paraId="0CBBD7C3">
            <w:pPr>
              <w:spacing w:line="240" w:lineRule="exact"/>
              <w:jc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实质性优惠</w:t>
            </w:r>
          </w:p>
          <w:p w14:paraId="1D510BE3">
            <w:pPr>
              <w:snapToGrid w:val="0"/>
              <w:spacing w:line="240" w:lineRule="exact"/>
              <w:jc w:val="center"/>
              <w:rPr>
                <w:rFonts w:hint="eastAsia" w:ascii="仿宋" w:hAnsi="仿宋" w:eastAsia="仿宋"/>
                <w:sz w:val="18"/>
                <w:szCs w:val="18"/>
              </w:rPr>
            </w:pPr>
            <w:r>
              <w:rPr>
                <w:rFonts w:hint="eastAsia" w:ascii="仿宋" w:hAnsi="仿宋" w:eastAsia="仿宋" w:cs="仿宋"/>
                <w:sz w:val="18"/>
                <w:szCs w:val="18"/>
              </w:rPr>
              <w:t>（1分）</w:t>
            </w:r>
          </w:p>
        </w:tc>
        <w:tc>
          <w:tcPr>
            <w:tcW w:w="1134" w:type="dxa"/>
            <w:vAlign w:val="center"/>
          </w:tcPr>
          <w:p w14:paraId="4941D835">
            <w:pPr>
              <w:spacing w:line="240" w:lineRule="exact"/>
              <w:jc w:val="center"/>
              <w:rPr>
                <w:rFonts w:hint="eastAsia" w:ascii="仿宋" w:hAnsi="仿宋" w:eastAsia="仿宋" w:cs="仿宋"/>
                <w:sz w:val="18"/>
                <w:szCs w:val="18"/>
              </w:rPr>
            </w:pPr>
            <w:r>
              <w:rPr>
                <w:rFonts w:hint="eastAsia" w:ascii="仿宋" w:hAnsi="仿宋" w:eastAsia="仿宋" w:cs="仿宋"/>
                <w:snapToGrid w:val="0"/>
                <w:kern w:val="0"/>
                <w:sz w:val="18"/>
                <w:szCs w:val="18"/>
              </w:rPr>
              <w:t>实质性优惠</w:t>
            </w:r>
          </w:p>
        </w:tc>
        <w:tc>
          <w:tcPr>
            <w:tcW w:w="709" w:type="dxa"/>
            <w:vAlign w:val="center"/>
          </w:tcPr>
          <w:p w14:paraId="7E1053C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536BC48D">
            <w:pPr>
              <w:snapToGrid w:val="0"/>
              <w:spacing w:line="240" w:lineRule="exact"/>
              <w:rPr>
                <w:rFonts w:hint="eastAsia" w:ascii="仿宋" w:hAnsi="仿宋" w:eastAsia="仿宋" w:cs="仿宋"/>
                <w:sz w:val="18"/>
                <w:szCs w:val="18"/>
              </w:rPr>
            </w:pPr>
            <w:r>
              <w:rPr>
                <w:rFonts w:hint="eastAsia" w:ascii="仿宋" w:hAnsi="仿宋" w:eastAsia="仿宋" w:cs="仿宋"/>
                <w:snapToGrid w:val="0"/>
                <w:kern w:val="0"/>
                <w:sz w:val="18"/>
                <w:szCs w:val="18"/>
              </w:rPr>
              <w:t>满足招标文件要求外，投标人另外提供的实质性优惠条件或增值服务的，根据投标人提供的承诺书，进行横向比较后打0-1分，不提供不得分。</w:t>
            </w:r>
          </w:p>
        </w:tc>
      </w:tr>
      <w:tr w14:paraId="2724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exact"/>
          <w:jc w:val="center"/>
        </w:trPr>
        <w:tc>
          <w:tcPr>
            <w:tcW w:w="714" w:type="dxa"/>
            <w:vAlign w:val="center"/>
          </w:tcPr>
          <w:p w14:paraId="4D2E0828">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6</w:t>
            </w:r>
          </w:p>
        </w:tc>
        <w:tc>
          <w:tcPr>
            <w:tcW w:w="1691" w:type="dxa"/>
            <w:vAlign w:val="center"/>
          </w:tcPr>
          <w:p w14:paraId="79FBC277">
            <w:pPr>
              <w:snapToGrid w:val="0"/>
              <w:spacing w:line="240" w:lineRule="exact"/>
              <w:jc w:val="center"/>
              <w:rPr>
                <w:rFonts w:hint="eastAsia" w:ascii="仿宋" w:hAnsi="仿宋" w:eastAsia="仿宋"/>
                <w:sz w:val="18"/>
                <w:szCs w:val="18"/>
              </w:rPr>
            </w:pPr>
            <w:r>
              <w:rPr>
                <w:rFonts w:hint="eastAsia" w:ascii="仿宋" w:hAnsi="仿宋" w:eastAsia="仿宋"/>
                <w:sz w:val="18"/>
                <w:szCs w:val="18"/>
              </w:rPr>
              <w:t>质保承诺</w:t>
            </w:r>
          </w:p>
          <w:p w14:paraId="4A604A90">
            <w:pPr>
              <w:spacing w:line="240" w:lineRule="exact"/>
              <w:jc w:val="center"/>
              <w:rPr>
                <w:rFonts w:hint="eastAsia" w:ascii="仿宋" w:hAnsi="仿宋" w:eastAsia="仿宋" w:cs="仿宋"/>
                <w:sz w:val="18"/>
                <w:szCs w:val="18"/>
              </w:rPr>
            </w:pPr>
            <w:r>
              <w:rPr>
                <w:rFonts w:hint="eastAsia" w:ascii="仿宋" w:hAnsi="仿宋" w:eastAsia="仿宋"/>
                <w:sz w:val="18"/>
                <w:szCs w:val="18"/>
              </w:rPr>
              <w:t>（1分）</w:t>
            </w:r>
          </w:p>
        </w:tc>
        <w:tc>
          <w:tcPr>
            <w:tcW w:w="1134" w:type="dxa"/>
            <w:vAlign w:val="center"/>
          </w:tcPr>
          <w:p w14:paraId="6B194F8D">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质保承诺</w:t>
            </w:r>
          </w:p>
        </w:tc>
        <w:tc>
          <w:tcPr>
            <w:tcW w:w="709" w:type="dxa"/>
            <w:vAlign w:val="center"/>
          </w:tcPr>
          <w:p w14:paraId="450DBAE0">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1</w:t>
            </w:r>
          </w:p>
        </w:tc>
        <w:tc>
          <w:tcPr>
            <w:tcW w:w="4961" w:type="dxa"/>
            <w:vAlign w:val="center"/>
          </w:tcPr>
          <w:p w14:paraId="3AC6F785">
            <w:pPr>
              <w:pStyle w:val="21"/>
              <w:snapToGrid w:val="0"/>
              <w:spacing w:line="240" w:lineRule="exact"/>
              <w:rPr>
                <w:rFonts w:hint="eastAsia" w:ascii="仿宋" w:hAnsi="仿宋" w:eastAsia="仿宋" w:cs="仿宋"/>
                <w:color w:val="auto"/>
                <w:sz w:val="18"/>
                <w:szCs w:val="18"/>
              </w:rPr>
            </w:pPr>
            <w:r>
              <w:rPr>
                <w:rFonts w:ascii="仿宋" w:hAnsi="仿宋" w:eastAsia="仿宋" w:cs="仿宋"/>
                <w:color w:val="auto"/>
                <w:sz w:val="18"/>
                <w:szCs w:val="18"/>
              </w:rPr>
              <w:t>质保期：在</w:t>
            </w:r>
            <w:r>
              <w:rPr>
                <w:rFonts w:hint="eastAsia" w:ascii="仿宋" w:hAnsi="仿宋" w:eastAsia="仿宋" w:cs="仿宋"/>
                <w:color w:val="auto"/>
                <w:sz w:val="18"/>
                <w:szCs w:val="18"/>
              </w:rPr>
              <w:t>招标文件</w:t>
            </w:r>
            <w:r>
              <w:rPr>
                <w:rFonts w:ascii="仿宋" w:hAnsi="仿宋" w:eastAsia="仿宋" w:cs="仿宋"/>
                <w:color w:val="auto"/>
                <w:sz w:val="18"/>
                <w:szCs w:val="18"/>
              </w:rPr>
              <w:t>规定的基础上，</w:t>
            </w:r>
            <w:r>
              <w:rPr>
                <w:rFonts w:hint="eastAsia" w:ascii="仿宋" w:hAnsi="仿宋" w:eastAsia="仿宋" w:cs="仿宋"/>
                <w:color w:val="auto"/>
                <w:sz w:val="18"/>
                <w:szCs w:val="18"/>
              </w:rPr>
              <w:t>质保期</w:t>
            </w:r>
            <w:r>
              <w:rPr>
                <w:rFonts w:ascii="仿宋" w:hAnsi="仿宋" w:eastAsia="仿宋" w:cs="仿宋"/>
                <w:color w:val="auto"/>
                <w:sz w:val="18"/>
                <w:szCs w:val="18"/>
              </w:rPr>
              <w:t>每</w:t>
            </w:r>
            <w:r>
              <w:rPr>
                <w:rFonts w:hint="eastAsia" w:ascii="仿宋" w:hAnsi="仿宋" w:eastAsia="仿宋" w:cs="仿宋"/>
                <w:color w:val="auto"/>
                <w:sz w:val="18"/>
                <w:szCs w:val="18"/>
              </w:rPr>
              <w:t>延长6个月</w:t>
            </w:r>
            <w:r>
              <w:rPr>
                <w:rFonts w:ascii="仿宋" w:hAnsi="仿宋" w:eastAsia="仿宋" w:cs="仿宋"/>
                <w:color w:val="auto"/>
                <w:sz w:val="18"/>
                <w:szCs w:val="18"/>
              </w:rPr>
              <w:t>得</w:t>
            </w:r>
            <w:r>
              <w:rPr>
                <w:rFonts w:hint="eastAsia" w:ascii="仿宋" w:hAnsi="仿宋" w:eastAsia="仿宋" w:cs="仿宋"/>
                <w:color w:val="auto"/>
                <w:sz w:val="18"/>
                <w:szCs w:val="18"/>
              </w:rPr>
              <w:t>0.5</w:t>
            </w:r>
            <w:r>
              <w:rPr>
                <w:rFonts w:ascii="仿宋" w:hAnsi="仿宋" w:eastAsia="仿宋" w:cs="仿宋"/>
                <w:color w:val="auto"/>
                <w:sz w:val="18"/>
                <w:szCs w:val="18"/>
              </w:rPr>
              <w:t>分，最高得</w:t>
            </w:r>
            <w:r>
              <w:rPr>
                <w:rFonts w:hint="eastAsia" w:ascii="仿宋" w:hAnsi="仿宋" w:eastAsia="仿宋" w:cs="仿宋"/>
                <w:color w:val="auto"/>
                <w:sz w:val="18"/>
                <w:szCs w:val="18"/>
              </w:rPr>
              <w:t>1</w:t>
            </w:r>
            <w:r>
              <w:rPr>
                <w:rFonts w:ascii="仿宋" w:hAnsi="仿宋" w:eastAsia="仿宋" w:cs="仿宋"/>
                <w:color w:val="auto"/>
                <w:sz w:val="18"/>
                <w:szCs w:val="18"/>
              </w:rPr>
              <w:t>分，不足</w:t>
            </w:r>
            <w:r>
              <w:rPr>
                <w:rFonts w:hint="eastAsia" w:ascii="仿宋" w:hAnsi="仿宋" w:eastAsia="仿宋" w:cs="仿宋"/>
                <w:color w:val="auto"/>
                <w:sz w:val="18"/>
                <w:szCs w:val="18"/>
              </w:rPr>
              <w:t>6个月</w:t>
            </w:r>
            <w:r>
              <w:rPr>
                <w:rFonts w:ascii="仿宋" w:hAnsi="仿宋" w:eastAsia="仿宋" w:cs="仿宋"/>
                <w:color w:val="auto"/>
                <w:sz w:val="18"/>
                <w:szCs w:val="18"/>
              </w:rPr>
              <w:t>不计</w:t>
            </w:r>
            <w:r>
              <w:rPr>
                <w:rFonts w:hint="eastAsia" w:ascii="仿宋" w:hAnsi="仿宋" w:eastAsia="仿宋" w:cs="仿宋"/>
                <w:color w:val="auto"/>
                <w:sz w:val="18"/>
                <w:szCs w:val="18"/>
              </w:rPr>
              <w:t>。</w:t>
            </w:r>
          </w:p>
          <w:p w14:paraId="7E12827A">
            <w:pPr>
              <w:spacing w:line="240" w:lineRule="exact"/>
              <w:rPr>
                <w:rFonts w:hint="eastAsia" w:ascii="仿宋" w:hAnsi="仿宋" w:eastAsia="仿宋" w:cs="仿宋"/>
                <w:sz w:val="18"/>
                <w:szCs w:val="18"/>
              </w:rPr>
            </w:pPr>
            <w:r>
              <w:rPr>
                <w:rFonts w:hint="eastAsia" w:ascii="仿宋" w:hAnsi="仿宋" w:eastAsia="仿宋"/>
                <w:b/>
                <w:bCs/>
                <w:sz w:val="18"/>
                <w:szCs w:val="18"/>
              </w:rPr>
              <w:t>（须在投标文件中附承诺并加盖公章，否则不得分。）</w:t>
            </w:r>
          </w:p>
        </w:tc>
      </w:tr>
      <w:tr w14:paraId="08CD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exact"/>
          <w:jc w:val="center"/>
        </w:trPr>
        <w:tc>
          <w:tcPr>
            <w:tcW w:w="714" w:type="dxa"/>
            <w:vAlign w:val="center"/>
          </w:tcPr>
          <w:p w14:paraId="3F905657">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7</w:t>
            </w:r>
          </w:p>
        </w:tc>
        <w:tc>
          <w:tcPr>
            <w:tcW w:w="1691" w:type="dxa"/>
            <w:vAlign w:val="center"/>
          </w:tcPr>
          <w:p w14:paraId="1F4D196E">
            <w:pPr>
              <w:snapToGrid w:val="0"/>
              <w:spacing w:line="240" w:lineRule="exact"/>
              <w:jc w:val="center"/>
              <w:rPr>
                <w:rFonts w:hint="eastAsia" w:ascii="仿宋" w:hAnsi="仿宋" w:eastAsia="仿宋"/>
                <w:sz w:val="18"/>
                <w:szCs w:val="18"/>
              </w:rPr>
            </w:pPr>
            <w:r>
              <w:rPr>
                <w:rFonts w:hint="eastAsia" w:ascii="仿宋" w:hAnsi="仿宋" w:eastAsia="仿宋"/>
                <w:sz w:val="18"/>
                <w:szCs w:val="18"/>
              </w:rPr>
              <w:t>综合评价（2分）</w:t>
            </w:r>
          </w:p>
        </w:tc>
        <w:tc>
          <w:tcPr>
            <w:tcW w:w="1134" w:type="dxa"/>
            <w:vAlign w:val="center"/>
          </w:tcPr>
          <w:p w14:paraId="6BD551EC">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综合评价</w:t>
            </w:r>
          </w:p>
        </w:tc>
        <w:tc>
          <w:tcPr>
            <w:tcW w:w="709" w:type="dxa"/>
            <w:vAlign w:val="center"/>
          </w:tcPr>
          <w:p w14:paraId="71B4B714">
            <w:pPr>
              <w:spacing w:line="240" w:lineRule="exact"/>
              <w:jc w:val="center"/>
              <w:rPr>
                <w:rFonts w:hint="eastAsia" w:ascii="仿宋" w:hAnsi="仿宋" w:eastAsia="仿宋" w:cs="仿宋"/>
                <w:sz w:val="18"/>
                <w:szCs w:val="18"/>
              </w:rPr>
            </w:pPr>
            <w:r>
              <w:rPr>
                <w:rFonts w:hint="eastAsia" w:ascii="仿宋" w:hAnsi="仿宋" w:eastAsia="仿宋" w:cs="仿宋"/>
                <w:sz w:val="18"/>
                <w:szCs w:val="18"/>
              </w:rPr>
              <w:t>2</w:t>
            </w:r>
          </w:p>
        </w:tc>
        <w:tc>
          <w:tcPr>
            <w:tcW w:w="4961" w:type="dxa"/>
            <w:vAlign w:val="center"/>
          </w:tcPr>
          <w:p w14:paraId="3CE06D48">
            <w:pPr>
              <w:pStyle w:val="21"/>
              <w:snapToGrid w:val="0"/>
              <w:spacing w:line="240" w:lineRule="exact"/>
              <w:rPr>
                <w:rFonts w:hint="eastAsia" w:ascii="仿宋" w:hAnsi="仿宋" w:eastAsia="仿宋" w:cs="仿宋"/>
                <w:color w:val="auto"/>
                <w:sz w:val="18"/>
                <w:szCs w:val="18"/>
              </w:rPr>
            </w:pPr>
            <w:r>
              <w:rPr>
                <w:rFonts w:hint="eastAsia" w:ascii="仿宋" w:hAnsi="仿宋" w:eastAsia="仿宋"/>
                <w:color w:val="000000" w:themeColor="text1"/>
                <w:sz w:val="18"/>
                <w:szCs w:val="18"/>
                <w14:textFill>
                  <w14:solidFill>
                    <w14:schemeClr w14:val="tx1"/>
                  </w14:solidFill>
                </w14:textFill>
              </w:rPr>
              <w:t>对投标单位的能力以及完成项目的进度、质量、安全、信誉等方面</w:t>
            </w:r>
            <w:r>
              <w:rPr>
                <w:rFonts w:ascii="仿宋" w:hAnsi="仿宋" w:eastAsia="仿宋"/>
                <w:color w:val="000000" w:themeColor="text1"/>
                <w:sz w:val="18"/>
                <w:szCs w:val="18"/>
                <w14:textFill>
                  <w14:solidFill>
                    <w14:schemeClr w14:val="tx1"/>
                  </w14:solidFill>
                </w14:textFill>
              </w:rPr>
              <w:t>进行综合评价</w:t>
            </w:r>
          </w:p>
        </w:tc>
      </w:tr>
    </w:tbl>
    <w:p w14:paraId="43A16035">
      <w:pPr>
        <w:spacing w:line="240" w:lineRule="exact"/>
        <w:ind w:firstLine="560" w:firstLineChars="200"/>
        <w:rPr>
          <w:rFonts w:hint="eastAsia" w:ascii="仿宋" w:hAnsi="仿宋" w:eastAsia="仿宋"/>
          <w:sz w:val="28"/>
          <w:szCs w:val="28"/>
        </w:rPr>
      </w:pPr>
    </w:p>
    <w:p w14:paraId="09004DF0">
      <w:pPr>
        <w:spacing w:line="460" w:lineRule="exact"/>
        <w:ind w:firstLine="560" w:firstLineChars="200"/>
        <w:rPr>
          <w:rFonts w:hint="eastAsia" w:ascii="宋体" w:hAnsi="宋体"/>
          <w:b/>
          <w:szCs w:val="21"/>
        </w:rPr>
      </w:pPr>
      <w:r>
        <w:rPr>
          <w:rFonts w:hint="eastAsia" w:ascii="仿宋" w:hAnsi="仿宋" w:eastAsia="仿宋"/>
          <w:sz w:val="28"/>
          <w:szCs w:val="28"/>
        </w:rPr>
        <w:t>6、技术评分表</w:t>
      </w:r>
    </w:p>
    <w:p w14:paraId="6BBAA5AF">
      <w:pPr>
        <w:spacing w:line="460" w:lineRule="exact"/>
        <w:ind w:firstLine="2741" w:firstLineChars="1300"/>
        <w:rPr>
          <w:rFonts w:hint="eastAsia" w:ascii="宋体" w:hAnsi="宋体"/>
          <w:b/>
          <w:szCs w:val="21"/>
        </w:rPr>
      </w:pPr>
      <w:r>
        <w:rPr>
          <w:rFonts w:hint="eastAsia" w:ascii="宋体" w:hAnsi="宋体"/>
          <w:b/>
          <w:szCs w:val="21"/>
        </w:rPr>
        <w:t>技术部分评分表（30分）</w:t>
      </w:r>
    </w:p>
    <w:p w14:paraId="72731EEF">
      <w:pPr>
        <w:spacing w:line="160" w:lineRule="exact"/>
        <w:ind w:firstLine="2741" w:firstLineChars="1300"/>
        <w:rPr>
          <w:rFonts w:hint="eastAsia" w:ascii="宋体" w:hAnsi="宋体"/>
          <w:b/>
          <w:szCs w:val="21"/>
        </w:rPr>
      </w:pPr>
    </w:p>
    <w:tbl>
      <w:tblPr>
        <w:tblStyle w:val="51"/>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1"/>
        <w:gridCol w:w="1275"/>
        <w:gridCol w:w="709"/>
        <w:gridCol w:w="6461"/>
      </w:tblGrid>
      <w:tr w14:paraId="035B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696" w:type="dxa"/>
            <w:gridSpan w:val="2"/>
            <w:vAlign w:val="center"/>
          </w:tcPr>
          <w:p w14:paraId="7B7E4C23">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评分因素</w:t>
            </w:r>
          </w:p>
        </w:tc>
        <w:tc>
          <w:tcPr>
            <w:tcW w:w="709" w:type="dxa"/>
            <w:vAlign w:val="center"/>
          </w:tcPr>
          <w:p w14:paraId="15E2F182">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标准分</w:t>
            </w:r>
          </w:p>
        </w:tc>
        <w:tc>
          <w:tcPr>
            <w:tcW w:w="6461" w:type="dxa"/>
            <w:vAlign w:val="center"/>
          </w:tcPr>
          <w:p w14:paraId="0D2EB919">
            <w:pPr>
              <w:suppressLineNumbers/>
              <w:suppressAutoHyphens/>
              <w:kinsoku w:val="0"/>
              <w:snapToGrid w:val="0"/>
              <w:ind w:left="236" w:hanging="236" w:hangingChars="112"/>
              <w:jc w:val="center"/>
              <w:textAlignment w:val="center"/>
              <w:rPr>
                <w:rFonts w:hint="eastAsia" w:ascii="仿宋" w:hAnsi="仿宋" w:eastAsia="仿宋" w:cs="仿宋"/>
                <w:b/>
                <w:snapToGrid w:val="0"/>
                <w:kern w:val="0"/>
                <w:szCs w:val="21"/>
              </w:rPr>
            </w:pPr>
            <w:r>
              <w:rPr>
                <w:rFonts w:hint="eastAsia" w:ascii="仿宋" w:hAnsi="仿宋" w:eastAsia="仿宋" w:cs="仿宋"/>
                <w:b/>
                <w:snapToGrid w:val="0"/>
                <w:kern w:val="0"/>
                <w:szCs w:val="21"/>
              </w:rPr>
              <w:t>评分标准说明</w:t>
            </w:r>
          </w:p>
        </w:tc>
      </w:tr>
      <w:tr w14:paraId="77E10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9" w:hRule="atLeast"/>
          <w:jc w:val="center"/>
        </w:trPr>
        <w:tc>
          <w:tcPr>
            <w:tcW w:w="421" w:type="dxa"/>
            <w:vAlign w:val="center"/>
          </w:tcPr>
          <w:p w14:paraId="1C9390B5">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1</w:t>
            </w:r>
          </w:p>
        </w:tc>
        <w:tc>
          <w:tcPr>
            <w:tcW w:w="1275" w:type="dxa"/>
            <w:vAlign w:val="center"/>
          </w:tcPr>
          <w:p w14:paraId="0FC5A7C1">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基本功能与配置</w:t>
            </w:r>
          </w:p>
        </w:tc>
        <w:tc>
          <w:tcPr>
            <w:tcW w:w="709" w:type="dxa"/>
            <w:vAlign w:val="center"/>
          </w:tcPr>
          <w:p w14:paraId="2D7F2A2F">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6</w:t>
            </w:r>
          </w:p>
        </w:tc>
        <w:tc>
          <w:tcPr>
            <w:tcW w:w="6461" w:type="dxa"/>
            <w:vAlign w:val="center"/>
          </w:tcPr>
          <w:p w14:paraId="74592721">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投标方根据招标文件技术部分编制投标方案，填写供货清单、设备参数，说明设备特点，对招标书响应情况，填写技术差异表等。对设备的配置、功能、性能进行评分：1-</w:t>
            </w:r>
            <w:r>
              <w:rPr>
                <w:rFonts w:hint="eastAsia" w:ascii="仿宋" w:hAnsi="仿宋" w:eastAsia="仿宋" w:cs="仿宋"/>
                <w:snapToGrid w:val="0"/>
                <w:kern w:val="0"/>
                <w:sz w:val="18"/>
                <w:szCs w:val="18"/>
                <w:lang w:val="en-US" w:eastAsia="zh-CN"/>
              </w:rPr>
              <w:t>6</w:t>
            </w:r>
            <w:r>
              <w:rPr>
                <w:rFonts w:hint="eastAsia" w:ascii="仿宋" w:hAnsi="仿宋" w:eastAsia="仿宋" w:cs="仿宋"/>
                <w:snapToGrid w:val="0"/>
                <w:kern w:val="0"/>
                <w:sz w:val="18"/>
                <w:szCs w:val="18"/>
              </w:rPr>
              <w:t>分</w:t>
            </w:r>
          </w:p>
        </w:tc>
      </w:tr>
      <w:tr w14:paraId="3D553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jc w:val="center"/>
        </w:trPr>
        <w:tc>
          <w:tcPr>
            <w:tcW w:w="421" w:type="dxa"/>
            <w:vAlign w:val="center"/>
          </w:tcPr>
          <w:p w14:paraId="43BAB7C4">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2</w:t>
            </w:r>
          </w:p>
        </w:tc>
        <w:tc>
          <w:tcPr>
            <w:tcW w:w="1275" w:type="dxa"/>
            <w:shd w:val="clear" w:color="auto" w:fill="auto"/>
            <w:vAlign w:val="center"/>
          </w:tcPr>
          <w:p w14:paraId="2A23FB6D">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综合技术水平及</w:t>
            </w:r>
          </w:p>
        </w:tc>
        <w:tc>
          <w:tcPr>
            <w:tcW w:w="709" w:type="dxa"/>
            <w:shd w:val="clear" w:color="auto" w:fill="auto"/>
            <w:vAlign w:val="center"/>
          </w:tcPr>
          <w:p w14:paraId="3BA95DA3">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lang w:eastAsia="zh-CN"/>
              </w:rPr>
            </w:pPr>
            <w:r>
              <w:rPr>
                <w:rFonts w:hint="eastAsia" w:ascii="仿宋" w:hAnsi="仿宋" w:eastAsia="仿宋" w:cs="仿宋"/>
                <w:snapToGrid w:val="0"/>
                <w:kern w:val="0"/>
                <w:sz w:val="18"/>
                <w:szCs w:val="18"/>
                <w:lang w:val="en-US" w:eastAsia="zh-CN"/>
              </w:rPr>
              <w:t>5</w:t>
            </w:r>
          </w:p>
        </w:tc>
        <w:tc>
          <w:tcPr>
            <w:tcW w:w="6461" w:type="dxa"/>
            <w:shd w:val="clear" w:color="auto" w:fill="auto"/>
            <w:vAlign w:val="center"/>
          </w:tcPr>
          <w:p w14:paraId="4ED0068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sz w:val="18"/>
                <w:szCs w:val="18"/>
              </w:rPr>
              <w:t>投标方应根据项目的特点，编制具有可行性的项目实施方案，包括但不限于执行标准清单、设备的制作工艺详细说明、设备质量保证措施、供货组织计划、交货期保证措施、安全管理等。</w:t>
            </w:r>
            <w:r>
              <w:rPr>
                <w:rFonts w:hint="eastAsia" w:ascii="仿宋" w:hAnsi="仿宋" w:eastAsia="仿宋" w:cs="仿宋"/>
                <w:snapToGrid w:val="0"/>
                <w:kern w:val="0"/>
                <w:sz w:val="18"/>
                <w:szCs w:val="18"/>
              </w:rPr>
              <w:t>对生产工艺、管理水平、技术水平、专利情况</w:t>
            </w:r>
            <w:r>
              <w:rPr>
                <w:rFonts w:hint="eastAsia" w:ascii="仿宋" w:hAnsi="仿宋" w:eastAsia="仿宋" w:cs="仿宋"/>
                <w:snapToGrid w:val="0"/>
                <w:kern w:val="0"/>
                <w:sz w:val="18"/>
                <w:szCs w:val="18"/>
                <w:lang w:eastAsia="zh-CN"/>
              </w:rPr>
              <w:t>、</w:t>
            </w:r>
            <w:r>
              <w:rPr>
                <w:rFonts w:hint="eastAsia" w:ascii="仿宋" w:hAnsi="仿宋" w:eastAsia="仿宋" w:cs="仿宋"/>
                <w:snapToGrid w:val="0"/>
                <w:kern w:val="0"/>
                <w:sz w:val="18"/>
                <w:szCs w:val="18"/>
                <w:lang w:val="en-US" w:eastAsia="zh-CN"/>
              </w:rPr>
              <w:t>安装调试方案</w:t>
            </w:r>
            <w:r>
              <w:rPr>
                <w:rFonts w:hint="eastAsia" w:ascii="仿宋" w:hAnsi="仿宋" w:eastAsia="仿宋" w:cs="仿宋"/>
                <w:snapToGrid w:val="0"/>
                <w:kern w:val="0"/>
                <w:sz w:val="18"/>
                <w:szCs w:val="18"/>
              </w:rPr>
              <w:t>等进行综合评价：1-</w:t>
            </w:r>
            <w:r>
              <w:rPr>
                <w:rFonts w:hint="eastAsia" w:ascii="仿宋" w:hAnsi="仿宋" w:eastAsia="仿宋" w:cs="仿宋"/>
                <w:snapToGrid w:val="0"/>
                <w:kern w:val="0"/>
                <w:sz w:val="18"/>
                <w:szCs w:val="18"/>
                <w:lang w:val="en-US" w:eastAsia="zh-CN"/>
              </w:rPr>
              <w:t>5</w:t>
            </w:r>
            <w:r>
              <w:rPr>
                <w:rFonts w:hint="eastAsia" w:ascii="仿宋" w:hAnsi="仿宋" w:eastAsia="仿宋" w:cs="仿宋"/>
                <w:snapToGrid w:val="0"/>
                <w:kern w:val="0"/>
                <w:sz w:val="18"/>
                <w:szCs w:val="18"/>
              </w:rPr>
              <w:t>分</w:t>
            </w:r>
          </w:p>
        </w:tc>
      </w:tr>
      <w:tr w14:paraId="1B9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421" w:type="dxa"/>
            <w:vAlign w:val="center"/>
          </w:tcPr>
          <w:p w14:paraId="498F7F4C">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3</w:t>
            </w:r>
          </w:p>
        </w:tc>
        <w:tc>
          <w:tcPr>
            <w:tcW w:w="1275" w:type="dxa"/>
            <w:shd w:val="clear" w:color="auto" w:fill="auto"/>
            <w:vAlign w:val="center"/>
          </w:tcPr>
          <w:p w14:paraId="735E2B9E">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设备设计、制作、检验</w:t>
            </w:r>
          </w:p>
        </w:tc>
        <w:tc>
          <w:tcPr>
            <w:tcW w:w="709" w:type="dxa"/>
            <w:shd w:val="clear" w:color="auto" w:fill="auto"/>
            <w:vAlign w:val="center"/>
          </w:tcPr>
          <w:p w14:paraId="6C37AC22">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40878650">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根据投标方设备的设计、检验测试、生产装备及技术力量打分：0-3分</w:t>
            </w:r>
          </w:p>
        </w:tc>
      </w:tr>
      <w:tr w14:paraId="6BF6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4" w:hRule="atLeast"/>
          <w:jc w:val="center"/>
        </w:trPr>
        <w:tc>
          <w:tcPr>
            <w:tcW w:w="421" w:type="dxa"/>
            <w:vAlign w:val="center"/>
          </w:tcPr>
          <w:p w14:paraId="42ECE6DD">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ascii="仿宋" w:hAnsi="仿宋" w:eastAsia="仿宋" w:cs="仿宋"/>
                <w:snapToGrid w:val="0"/>
                <w:kern w:val="0"/>
                <w:sz w:val="18"/>
                <w:szCs w:val="18"/>
              </w:rPr>
              <w:t>4</w:t>
            </w:r>
          </w:p>
        </w:tc>
        <w:tc>
          <w:tcPr>
            <w:tcW w:w="1275" w:type="dxa"/>
            <w:shd w:val="clear" w:color="auto" w:fill="auto"/>
            <w:vAlign w:val="center"/>
          </w:tcPr>
          <w:p w14:paraId="057ECC14">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随机备件、工具</w:t>
            </w:r>
          </w:p>
        </w:tc>
        <w:tc>
          <w:tcPr>
            <w:tcW w:w="709" w:type="dxa"/>
            <w:shd w:val="clear" w:color="auto" w:fill="auto"/>
            <w:vAlign w:val="center"/>
          </w:tcPr>
          <w:p w14:paraId="7A80147C">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shd w:val="clear" w:color="auto" w:fill="auto"/>
            <w:vAlign w:val="center"/>
          </w:tcPr>
          <w:p w14:paraId="41BFFA1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根据投标方随机备品备件、工具的提供情况，进行横向比较后打分：0-</w:t>
            </w:r>
            <w:r>
              <w:rPr>
                <w:rFonts w:ascii="仿宋" w:hAnsi="仿宋" w:eastAsia="仿宋" w:cs="仿宋"/>
                <w:snapToGrid w:val="0"/>
                <w:kern w:val="0"/>
                <w:sz w:val="18"/>
                <w:szCs w:val="18"/>
              </w:rPr>
              <w:t>3</w:t>
            </w:r>
            <w:r>
              <w:rPr>
                <w:rFonts w:hint="eastAsia" w:ascii="仿宋" w:hAnsi="仿宋" w:eastAsia="仿宋" w:cs="仿宋"/>
                <w:snapToGrid w:val="0"/>
                <w:kern w:val="0"/>
                <w:sz w:val="18"/>
                <w:szCs w:val="18"/>
              </w:rPr>
              <w:t>分</w:t>
            </w:r>
          </w:p>
        </w:tc>
      </w:tr>
      <w:tr w14:paraId="796F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0" w:hRule="atLeast"/>
          <w:jc w:val="center"/>
        </w:trPr>
        <w:tc>
          <w:tcPr>
            <w:tcW w:w="421" w:type="dxa"/>
            <w:vAlign w:val="center"/>
          </w:tcPr>
          <w:p w14:paraId="4BA45142">
            <w:pPr>
              <w:suppressLineNumbers/>
              <w:suppressAutoHyphens/>
              <w:kinsoku w:val="0"/>
              <w:snapToGrid w:val="0"/>
              <w:spacing w:line="240" w:lineRule="exact"/>
              <w:jc w:val="center"/>
              <w:textAlignment w:val="center"/>
              <w:rPr>
                <w:rFonts w:ascii="仿宋" w:hAnsi="仿宋" w:eastAsia="仿宋" w:cs="仿宋"/>
                <w:snapToGrid w:val="0"/>
                <w:kern w:val="0"/>
                <w:sz w:val="18"/>
                <w:szCs w:val="18"/>
              </w:rPr>
            </w:pPr>
            <w:r>
              <w:rPr>
                <w:rFonts w:hint="eastAsia" w:ascii="仿宋" w:hAnsi="仿宋" w:eastAsia="仿宋" w:cs="仿宋"/>
                <w:snapToGrid w:val="0"/>
                <w:kern w:val="0"/>
                <w:sz w:val="18"/>
                <w:szCs w:val="18"/>
              </w:rPr>
              <w:t>5</w:t>
            </w:r>
          </w:p>
        </w:tc>
        <w:tc>
          <w:tcPr>
            <w:tcW w:w="1275" w:type="dxa"/>
            <w:shd w:val="clear" w:color="auto" w:fill="auto"/>
            <w:vAlign w:val="center"/>
          </w:tcPr>
          <w:p w14:paraId="343D33F8">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z w:val="18"/>
                <w:szCs w:val="18"/>
              </w:rPr>
              <w:t>业绩</w:t>
            </w:r>
          </w:p>
        </w:tc>
        <w:tc>
          <w:tcPr>
            <w:tcW w:w="709" w:type="dxa"/>
            <w:shd w:val="clear" w:color="auto" w:fill="auto"/>
            <w:vAlign w:val="center"/>
          </w:tcPr>
          <w:p w14:paraId="2B609CA0">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z w:val="18"/>
                <w:szCs w:val="18"/>
                <w:lang w:val="en-US" w:eastAsia="zh-CN"/>
              </w:rPr>
              <w:t>3</w:t>
            </w:r>
          </w:p>
        </w:tc>
        <w:tc>
          <w:tcPr>
            <w:tcW w:w="6461" w:type="dxa"/>
            <w:shd w:val="clear" w:color="auto" w:fill="auto"/>
            <w:vAlign w:val="center"/>
          </w:tcPr>
          <w:p w14:paraId="3A681963">
            <w:pPr>
              <w:spacing w:line="240" w:lineRule="exact"/>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投标方需提供近3年至少5台撕碎机或斗式提升机或雷蒙磨的业绩。</w:t>
            </w:r>
            <w:r>
              <w:rPr>
                <w:rFonts w:hint="eastAsia" w:ascii="仿宋" w:hAnsi="仿宋" w:eastAsia="仿宋"/>
                <w:sz w:val="18"/>
                <w:szCs w:val="18"/>
              </w:rPr>
              <w:t>每具备一个业绩加1分，最多得</w:t>
            </w:r>
            <w:r>
              <w:rPr>
                <w:rFonts w:hint="eastAsia" w:ascii="仿宋" w:hAnsi="仿宋" w:eastAsia="仿宋"/>
                <w:sz w:val="18"/>
                <w:szCs w:val="18"/>
                <w:lang w:val="en-US" w:eastAsia="zh-CN"/>
              </w:rPr>
              <w:t>3</w:t>
            </w:r>
            <w:r>
              <w:rPr>
                <w:rFonts w:hint="eastAsia" w:ascii="仿宋" w:hAnsi="仿宋" w:eastAsia="仿宋"/>
                <w:sz w:val="18"/>
                <w:szCs w:val="18"/>
              </w:rPr>
              <w:t>分；</w:t>
            </w:r>
            <w:r>
              <w:rPr>
                <w:rFonts w:hint="eastAsia" w:ascii="仿宋" w:hAnsi="仿宋" w:eastAsia="仿宋" w:cs="仿宋"/>
                <w:snapToGrid w:val="0"/>
                <w:kern w:val="0"/>
                <w:sz w:val="18"/>
                <w:szCs w:val="18"/>
              </w:rPr>
              <w:t>业绩中要列出项目明细，所有业绩均须在投标文件中提供合同关键页扫描件</w:t>
            </w:r>
          </w:p>
        </w:tc>
      </w:tr>
      <w:tr w14:paraId="79BA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 w:hRule="atLeast"/>
          <w:jc w:val="center"/>
        </w:trPr>
        <w:tc>
          <w:tcPr>
            <w:tcW w:w="421" w:type="dxa"/>
            <w:shd w:val="clear" w:color="auto" w:fill="auto"/>
            <w:vAlign w:val="center"/>
          </w:tcPr>
          <w:p w14:paraId="05B7751C">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6</w:t>
            </w:r>
          </w:p>
        </w:tc>
        <w:tc>
          <w:tcPr>
            <w:tcW w:w="1275" w:type="dxa"/>
            <w:shd w:val="clear" w:color="auto" w:fill="auto"/>
            <w:vAlign w:val="center"/>
          </w:tcPr>
          <w:p w14:paraId="02C150B7">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技术培训方案</w:t>
            </w:r>
          </w:p>
        </w:tc>
        <w:tc>
          <w:tcPr>
            <w:tcW w:w="709" w:type="dxa"/>
            <w:shd w:val="clear" w:color="auto" w:fill="auto"/>
            <w:vAlign w:val="center"/>
          </w:tcPr>
          <w:p w14:paraId="5A432E53">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3</w:t>
            </w:r>
          </w:p>
        </w:tc>
        <w:tc>
          <w:tcPr>
            <w:tcW w:w="6461" w:type="dxa"/>
            <w:shd w:val="clear" w:color="auto" w:fill="auto"/>
            <w:vAlign w:val="center"/>
          </w:tcPr>
          <w:p w14:paraId="78C9C1E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根据技术培训方案的完善程度打分：0-3分</w:t>
            </w:r>
          </w:p>
        </w:tc>
      </w:tr>
      <w:tr w14:paraId="1C95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21" w:type="dxa"/>
            <w:shd w:val="clear" w:color="auto" w:fill="auto"/>
            <w:vAlign w:val="center"/>
          </w:tcPr>
          <w:p w14:paraId="540D274F">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7</w:t>
            </w:r>
          </w:p>
        </w:tc>
        <w:tc>
          <w:tcPr>
            <w:tcW w:w="1275" w:type="dxa"/>
            <w:shd w:val="clear" w:color="auto" w:fill="auto"/>
            <w:vAlign w:val="center"/>
          </w:tcPr>
          <w:p w14:paraId="11D4D3E4">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合理化建议</w:t>
            </w:r>
          </w:p>
        </w:tc>
        <w:tc>
          <w:tcPr>
            <w:tcW w:w="709" w:type="dxa"/>
            <w:shd w:val="clear" w:color="auto" w:fill="auto"/>
            <w:vAlign w:val="center"/>
          </w:tcPr>
          <w:p w14:paraId="5FF6BF75">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2</w:t>
            </w:r>
          </w:p>
        </w:tc>
        <w:tc>
          <w:tcPr>
            <w:tcW w:w="6461" w:type="dxa"/>
            <w:shd w:val="clear" w:color="auto" w:fill="auto"/>
            <w:vAlign w:val="center"/>
          </w:tcPr>
          <w:p w14:paraId="581440D8">
            <w:pPr>
              <w:pStyle w:val="244"/>
              <w:snapToGrid w:val="0"/>
              <w:spacing w:line="240" w:lineRule="exact"/>
              <w:ind w:firstLine="0" w:firstLineChars="0"/>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sz w:val="18"/>
                <w:szCs w:val="18"/>
              </w:rPr>
              <w:t>招标方每采纳1条得1分，最高2分；</w:t>
            </w:r>
          </w:p>
        </w:tc>
      </w:tr>
      <w:tr w14:paraId="2232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6" w:hRule="atLeast"/>
          <w:jc w:val="center"/>
        </w:trPr>
        <w:tc>
          <w:tcPr>
            <w:tcW w:w="421" w:type="dxa"/>
            <w:shd w:val="clear" w:color="auto" w:fill="auto"/>
            <w:vAlign w:val="center"/>
          </w:tcPr>
          <w:p w14:paraId="17836E35">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8</w:t>
            </w:r>
          </w:p>
        </w:tc>
        <w:tc>
          <w:tcPr>
            <w:tcW w:w="1275" w:type="dxa"/>
            <w:shd w:val="clear" w:color="auto" w:fill="auto"/>
            <w:vAlign w:val="center"/>
          </w:tcPr>
          <w:p w14:paraId="6C363D3B">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备品、备件保障</w:t>
            </w:r>
          </w:p>
        </w:tc>
        <w:tc>
          <w:tcPr>
            <w:tcW w:w="709" w:type="dxa"/>
            <w:shd w:val="clear" w:color="auto" w:fill="auto"/>
            <w:vAlign w:val="center"/>
          </w:tcPr>
          <w:p w14:paraId="61FCA3FA">
            <w:pPr>
              <w:suppressLineNumbers/>
              <w:suppressAutoHyphens/>
              <w:kinsoku w:val="0"/>
              <w:snapToGrid w:val="0"/>
              <w:spacing w:line="240" w:lineRule="exact"/>
              <w:ind w:left="201" w:leftChars="0" w:hanging="201" w:hangingChars="112"/>
              <w:jc w:val="center"/>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2</w:t>
            </w:r>
          </w:p>
        </w:tc>
        <w:tc>
          <w:tcPr>
            <w:tcW w:w="6461" w:type="dxa"/>
            <w:shd w:val="clear" w:color="auto" w:fill="auto"/>
            <w:vAlign w:val="center"/>
          </w:tcPr>
          <w:p w14:paraId="377E5F1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lang w:val="en-US" w:eastAsia="zh-CN" w:bidi="ar-SA"/>
              </w:rPr>
            </w:pPr>
            <w:r>
              <w:rPr>
                <w:rFonts w:hint="eastAsia" w:ascii="仿宋" w:hAnsi="仿宋" w:eastAsia="仿宋" w:cs="仿宋"/>
                <w:snapToGrid w:val="0"/>
                <w:kern w:val="0"/>
                <w:sz w:val="18"/>
                <w:szCs w:val="18"/>
              </w:rPr>
              <w:t>根据投标方备品备件储备情况，备品备件可以给与的优惠折扣价格等情况打分：1-2分</w:t>
            </w:r>
          </w:p>
        </w:tc>
      </w:tr>
      <w:tr w14:paraId="6094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0" w:hRule="atLeast"/>
          <w:jc w:val="center"/>
        </w:trPr>
        <w:tc>
          <w:tcPr>
            <w:tcW w:w="421" w:type="dxa"/>
            <w:shd w:val="clear" w:color="auto" w:fill="auto"/>
            <w:vAlign w:val="center"/>
          </w:tcPr>
          <w:p w14:paraId="4C811211">
            <w:pPr>
              <w:suppressLineNumbers/>
              <w:suppressAutoHyphens/>
              <w:kinsoku w:val="0"/>
              <w:snapToGrid w:val="0"/>
              <w:spacing w:line="240" w:lineRule="exact"/>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9</w:t>
            </w:r>
          </w:p>
        </w:tc>
        <w:tc>
          <w:tcPr>
            <w:tcW w:w="1275" w:type="dxa"/>
            <w:vAlign w:val="center"/>
          </w:tcPr>
          <w:p w14:paraId="215A7F2C">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售后服务</w:t>
            </w:r>
          </w:p>
        </w:tc>
        <w:tc>
          <w:tcPr>
            <w:tcW w:w="709" w:type="dxa"/>
            <w:vAlign w:val="center"/>
          </w:tcPr>
          <w:p w14:paraId="18093B67">
            <w:pPr>
              <w:suppressLineNumbers/>
              <w:suppressAutoHyphens/>
              <w:kinsoku w:val="0"/>
              <w:snapToGrid w:val="0"/>
              <w:spacing w:line="240" w:lineRule="exact"/>
              <w:ind w:left="202" w:hanging="201" w:hangingChars="112"/>
              <w:jc w:val="center"/>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3</w:t>
            </w:r>
          </w:p>
        </w:tc>
        <w:tc>
          <w:tcPr>
            <w:tcW w:w="6461" w:type="dxa"/>
            <w:vAlign w:val="center"/>
          </w:tcPr>
          <w:p w14:paraId="252DB4C9">
            <w:pPr>
              <w:suppressLineNumbers/>
              <w:suppressAutoHyphens/>
              <w:kinsoku w:val="0"/>
              <w:snapToGrid w:val="0"/>
              <w:spacing w:line="240" w:lineRule="exact"/>
              <w:ind w:left="120" w:leftChars="57"/>
              <w:textAlignment w:val="center"/>
              <w:rPr>
                <w:rFonts w:hint="eastAsia" w:ascii="仿宋" w:hAnsi="仿宋" w:eastAsia="仿宋" w:cs="仿宋"/>
                <w:snapToGrid w:val="0"/>
                <w:kern w:val="0"/>
                <w:sz w:val="18"/>
                <w:szCs w:val="18"/>
              </w:rPr>
            </w:pPr>
            <w:r>
              <w:rPr>
                <w:rFonts w:hint="eastAsia" w:ascii="仿宋" w:hAnsi="仿宋" w:eastAsia="仿宋" w:cs="仿宋"/>
                <w:snapToGrid w:val="0"/>
                <w:kern w:val="0"/>
                <w:sz w:val="18"/>
                <w:szCs w:val="18"/>
              </w:rPr>
              <w:t>投标方应在充分理解本项目需求的基础上，针对本项目编制售后服务方案，包括但不限于服务内容、响应时间、人员安排、技术指导、终身服务等。根据投标方情况打分：1-3分</w:t>
            </w:r>
          </w:p>
        </w:tc>
      </w:tr>
    </w:tbl>
    <w:p w14:paraId="4D57A9D4">
      <w:pPr>
        <w:spacing w:line="240" w:lineRule="exact"/>
        <w:rPr>
          <w:rFonts w:hint="eastAsia" w:ascii="仿宋" w:hAnsi="仿宋" w:eastAsia="仿宋"/>
          <w:sz w:val="28"/>
          <w:szCs w:val="28"/>
        </w:rPr>
      </w:pPr>
    </w:p>
    <w:p w14:paraId="2F7F5B23">
      <w:pPr>
        <w:spacing w:line="460" w:lineRule="exact"/>
        <w:rPr>
          <w:rFonts w:hint="eastAsia" w:ascii="仿宋" w:hAnsi="仿宋" w:eastAsia="仿宋"/>
          <w:b/>
          <w:bCs/>
          <w:sz w:val="28"/>
          <w:szCs w:val="28"/>
        </w:rPr>
      </w:pPr>
      <w:r>
        <w:rPr>
          <w:rFonts w:hint="eastAsia" w:ascii="仿宋" w:hAnsi="仿宋" w:eastAsia="仿宋"/>
          <w:sz w:val="28"/>
          <w:szCs w:val="28"/>
        </w:rPr>
        <w:t xml:space="preserve"> </w:t>
      </w:r>
      <w:r>
        <w:rPr>
          <w:rFonts w:hint="eastAsia" w:ascii="仿宋" w:hAnsi="仿宋" w:eastAsia="仿宋"/>
          <w:b/>
          <w:bCs/>
          <w:sz w:val="28"/>
          <w:szCs w:val="28"/>
        </w:rPr>
        <w:t>四、授予合同</w:t>
      </w:r>
    </w:p>
    <w:p w14:paraId="43D807B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1、招标人在授予合同时，保留对招标文件中规定的货物数量和规格予以调整的权力。</w:t>
      </w:r>
    </w:p>
    <w:p w14:paraId="51AC9B3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2、为保证项目的进度要求，招标人保留拆包授予合同的权力。</w:t>
      </w:r>
    </w:p>
    <w:p w14:paraId="65CBA5D5">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3、中标人在接到《中标通知书》后10个工作日内，按买方约定的时间、地点与买方签订合同。</w:t>
      </w:r>
    </w:p>
    <w:p w14:paraId="50A5CB3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4、招标文件、中标人的投标文件及其澄清文件等，均为签订合同的依据。中标人不得与招标人签订背离上述文件内容的合同。</w:t>
      </w:r>
    </w:p>
    <w:p w14:paraId="03712FCF">
      <w:pPr>
        <w:spacing w:line="460" w:lineRule="exact"/>
        <w:rPr>
          <w:rFonts w:hint="eastAsia" w:ascii="仿宋" w:hAnsi="仿宋" w:eastAsia="仿宋"/>
          <w:b/>
          <w:bCs/>
          <w:sz w:val="28"/>
          <w:szCs w:val="28"/>
        </w:rPr>
      </w:pPr>
      <w:r>
        <w:rPr>
          <w:rFonts w:hint="eastAsia" w:ascii="仿宋" w:hAnsi="仿宋" w:eastAsia="仿宋"/>
          <w:b/>
          <w:bCs/>
          <w:sz w:val="28"/>
          <w:szCs w:val="28"/>
        </w:rPr>
        <w:t>五、招标投标费用：</w:t>
      </w:r>
    </w:p>
    <w:p w14:paraId="2843C83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一切与投标有关的费用均由投标人自理。</w:t>
      </w:r>
    </w:p>
    <w:p w14:paraId="4B654378">
      <w:pPr>
        <w:spacing w:line="460" w:lineRule="exact"/>
        <w:rPr>
          <w:rFonts w:hint="eastAsia" w:ascii="仿宋" w:hAnsi="仿宋" w:eastAsia="仿宋"/>
          <w:b/>
          <w:bCs/>
          <w:sz w:val="28"/>
          <w:szCs w:val="28"/>
        </w:rPr>
      </w:pPr>
      <w:r>
        <w:rPr>
          <w:rFonts w:hint="eastAsia" w:ascii="仿宋" w:hAnsi="仿宋" w:eastAsia="仿宋"/>
          <w:b/>
          <w:bCs/>
          <w:sz w:val="28"/>
          <w:szCs w:val="28"/>
        </w:rPr>
        <w:t>六、投标人资格审查文件</w:t>
      </w:r>
    </w:p>
    <w:p w14:paraId="06DA29B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投标人要提交下列文件以便招标单位审核：</w:t>
      </w:r>
    </w:p>
    <w:p w14:paraId="7A7FF4A6">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1) 企业法人营业执照（需提供原件供招标人审查）；</w:t>
      </w:r>
    </w:p>
    <w:p w14:paraId="19D97EF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2) 法人、授权委托人身份证复印件；</w:t>
      </w:r>
    </w:p>
    <w:p w14:paraId="47E88A8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3）有关鉴定材料、相关资质许可证；</w:t>
      </w:r>
    </w:p>
    <w:p w14:paraId="3F17D4E8">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4)体系认证及认证证明；</w:t>
      </w:r>
    </w:p>
    <w:p w14:paraId="104F9D0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5) 业绩及目前正在执行合同情况(包括完成情况和出现的重要质量问题及改进措施)；</w:t>
      </w:r>
      <w:r>
        <w:rPr>
          <w:rFonts w:hint="eastAsia" w:ascii="仿宋" w:hAnsi="仿宋" w:eastAsia="仿宋"/>
          <w:sz w:val="28"/>
          <w:szCs w:val="28"/>
        </w:rPr>
        <w:tab/>
      </w:r>
      <w:r>
        <w:rPr>
          <w:rFonts w:hint="eastAsia" w:ascii="仿宋" w:hAnsi="仿宋" w:eastAsia="仿宋"/>
          <w:sz w:val="28"/>
          <w:szCs w:val="28"/>
        </w:rPr>
        <w:t xml:space="preserve"> </w:t>
      </w:r>
    </w:p>
    <w:p w14:paraId="5947D9BA">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6) 其它文件和资料。</w:t>
      </w:r>
    </w:p>
    <w:p w14:paraId="347899A6">
      <w:pPr>
        <w:spacing w:line="460" w:lineRule="exact"/>
        <w:rPr>
          <w:rFonts w:hint="eastAsia" w:ascii="仿宋" w:hAnsi="仿宋" w:eastAsia="仿宋"/>
          <w:b/>
          <w:bCs/>
          <w:sz w:val="28"/>
          <w:szCs w:val="28"/>
        </w:rPr>
      </w:pPr>
      <w:r>
        <w:rPr>
          <w:rFonts w:hint="eastAsia" w:ascii="仿宋" w:hAnsi="仿宋" w:eastAsia="仿宋"/>
          <w:b/>
          <w:bCs/>
          <w:sz w:val="28"/>
          <w:szCs w:val="28"/>
        </w:rPr>
        <w:t>七、 投标保证金</w:t>
      </w:r>
    </w:p>
    <w:p w14:paraId="7540A42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投标保证金（人民币：</w:t>
      </w:r>
      <w:r>
        <w:rPr>
          <w:rFonts w:hint="eastAsia" w:ascii="仿宋" w:hAnsi="仿宋" w:eastAsia="仿宋"/>
          <w:sz w:val="28"/>
          <w:szCs w:val="28"/>
          <w:lang w:val="en-US" w:eastAsia="zh-CN"/>
        </w:rPr>
        <w:t>壹</w:t>
      </w:r>
      <w:r>
        <w:rPr>
          <w:rFonts w:hint="eastAsia" w:ascii="仿宋" w:hAnsi="仿宋" w:eastAsia="仿宋"/>
          <w:sz w:val="28"/>
          <w:szCs w:val="28"/>
        </w:rPr>
        <w:t xml:space="preserve">万元整     </w:t>
      </w: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00</w:t>
      </w:r>
      <w:r>
        <w:rPr>
          <w:rFonts w:ascii="仿宋" w:hAnsi="仿宋" w:eastAsia="仿宋" w:cs="仿宋"/>
          <w:sz w:val="28"/>
          <w:szCs w:val="28"/>
        </w:rPr>
        <w:t>0</w:t>
      </w:r>
      <w:r>
        <w:rPr>
          <w:rFonts w:hint="eastAsia" w:ascii="仿宋" w:hAnsi="仿宋" w:eastAsia="仿宋" w:cs="仿宋"/>
          <w:sz w:val="28"/>
          <w:szCs w:val="28"/>
        </w:rPr>
        <w:t>0元</w:t>
      </w:r>
      <w:r>
        <w:rPr>
          <w:rFonts w:hint="eastAsia" w:ascii="仿宋" w:hAnsi="仿宋" w:eastAsia="仿宋"/>
          <w:sz w:val="28"/>
          <w:szCs w:val="28"/>
        </w:rPr>
        <w:t xml:space="preserve">） </w:t>
      </w:r>
    </w:p>
    <w:p w14:paraId="4BE70107">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投标保证金交纳时间：</w:t>
      </w:r>
      <w:r>
        <w:rPr>
          <w:rFonts w:hint="eastAsia" w:ascii="仿宋" w:hAnsi="仿宋" w:eastAsia="仿宋"/>
          <w:color w:val="000000" w:themeColor="text1"/>
          <w:sz w:val="28"/>
          <w:szCs w:val="28"/>
          <w:highlight w:val="none"/>
          <w:shd w:val="clear" w:color="auto" w:fill="auto"/>
          <w14:textFill>
            <w14:solidFill>
              <w14:schemeClr w14:val="tx1"/>
            </w14:solidFill>
          </w14:textFill>
        </w:rPr>
        <w:t>202</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6</w:t>
      </w:r>
      <w:r>
        <w:rPr>
          <w:rFonts w:hint="eastAsia" w:ascii="仿宋" w:hAnsi="仿宋" w:eastAsia="仿宋"/>
          <w:color w:val="000000" w:themeColor="text1"/>
          <w:sz w:val="28"/>
          <w:szCs w:val="28"/>
          <w:highlight w:val="none"/>
          <w:shd w:val="clear" w:color="auto" w:fill="auto"/>
          <w14:textFill>
            <w14:solidFill>
              <w14:schemeClr w14:val="tx1"/>
            </w14:solidFill>
          </w14:textFill>
        </w:rPr>
        <w:t>年</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olor w:val="000000" w:themeColor="text1"/>
          <w:sz w:val="28"/>
          <w:szCs w:val="28"/>
          <w:highlight w:val="none"/>
          <w:shd w:val="clear" w:color="auto" w:fill="auto"/>
          <w14:textFill>
            <w14:solidFill>
              <w14:schemeClr w14:val="tx1"/>
            </w14:solidFill>
          </w14:textFill>
        </w:rPr>
        <w:t>月</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27</w:t>
      </w:r>
      <w:r>
        <w:rPr>
          <w:rFonts w:hint="eastAsia" w:ascii="仿宋" w:hAnsi="仿宋" w:eastAsia="仿宋"/>
          <w:color w:val="000000" w:themeColor="text1"/>
          <w:sz w:val="28"/>
          <w:szCs w:val="28"/>
          <w:highlight w:val="none"/>
          <w:shd w:val="clear" w:color="auto" w:fill="auto"/>
          <w14:textFill>
            <w14:solidFill>
              <w14:schemeClr w14:val="tx1"/>
            </w14:solidFill>
          </w14:textFill>
        </w:rPr>
        <w:t>日</w:t>
      </w:r>
      <w:r>
        <w:rPr>
          <w:rFonts w:hint="eastAsia" w:ascii="仿宋" w:hAnsi="仿宋" w:eastAsia="仿宋"/>
          <w:color w:val="000000" w:themeColor="text1"/>
          <w:sz w:val="28"/>
          <w:szCs w:val="28"/>
          <w:highlight w:val="none"/>
          <w:shd w:val="clear" w:color="auto" w:fill="auto"/>
          <w:lang w:val="en-US" w:eastAsia="zh-CN"/>
          <w14:textFill>
            <w14:solidFill>
              <w14:schemeClr w14:val="tx1"/>
            </w14:solidFill>
          </w14:textFill>
        </w:rPr>
        <w:t>下午5</w:t>
      </w:r>
      <w:r>
        <w:rPr>
          <w:rFonts w:hint="eastAsia" w:ascii="仿宋" w:hAnsi="仿宋" w:eastAsia="仿宋"/>
          <w:sz w:val="28"/>
          <w:szCs w:val="28"/>
        </w:rPr>
        <w:t>时（北京时间）前到账，投标截止时间之后递交的投标保证金将被拒绝。公对公电汇转账方式缴纳（不接受现金及个人转账）。 最终以河南万基新型建材有限公司财务所开收到凭证为准。</w:t>
      </w:r>
    </w:p>
    <w:p w14:paraId="781F49AC">
      <w:pPr>
        <w:spacing w:line="460" w:lineRule="exact"/>
        <w:ind w:firstLine="560" w:firstLineChars="200"/>
        <w:rPr>
          <w:rFonts w:hint="eastAsia" w:ascii="仿宋" w:hAnsi="仿宋" w:eastAsia="仿宋"/>
          <w:color w:val="auto"/>
          <w:sz w:val="28"/>
          <w:szCs w:val="28"/>
        </w:rPr>
      </w:pPr>
      <w:r>
        <w:rPr>
          <w:rFonts w:hint="eastAsia" w:ascii="仿宋" w:hAnsi="仿宋" w:eastAsia="仿宋"/>
          <w:sz w:val="28"/>
          <w:szCs w:val="28"/>
        </w:rPr>
        <w:t>招标人指</w:t>
      </w:r>
      <w:r>
        <w:rPr>
          <w:rFonts w:hint="eastAsia" w:ascii="仿宋" w:hAnsi="仿宋" w:eastAsia="仿宋"/>
          <w:color w:val="auto"/>
          <w:sz w:val="28"/>
          <w:szCs w:val="28"/>
        </w:rPr>
        <w:t>定的投标保证金的接收单位：</w:t>
      </w:r>
    </w:p>
    <w:p w14:paraId="635A4D69">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单位名称：</w:t>
      </w:r>
      <w:r>
        <w:rPr>
          <w:rFonts w:hint="eastAsia" w:ascii="仿宋" w:hAnsi="仿宋" w:eastAsia="仿宋"/>
          <w:b/>
          <w:color w:val="auto"/>
          <w:sz w:val="28"/>
          <w:szCs w:val="28"/>
        </w:rPr>
        <w:t>河南万基新型建材有限公司</w:t>
      </w:r>
    </w:p>
    <w:p w14:paraId="1A588DCA">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开 户 行：</w:t>
      </w:r>
      <w:r>
        <w:rPr>
          <w:rFonts w:hint="eastAsia" w:ascii="仿宋" w:hAnsi="仿宋" w:eastAsia="仿宋"/>
          <w:b/>
          <w:color w:val="auto"/>
          <w:sz w:val="28"/>
          <w:szCs w:val="28"/>
        </w:rPr>
        <w:t>农业银行新安县支行</w:t>
      </w:r>
    </w:p>
    <w:p w14:paraId="52442D4A">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账    号：</w:t>
      </w:r>
      <w:r>
        <w:rPr>
          <w:rFonts w:ascii="仿宋" w:hAnsi="仿宋" w:eastAsia="仿宋"/>
          <w:b/>
          <w:color w:val="auto"/>
          <w:sz w:val="28"/>
          <w:szCs w:val="28"/>
        </w:rPr>
        <w:t>16135101040017893</w:t>
      </w:r>
    </w:p>
    <w:p w14:paraId="1C8A3E7C">
      <w:pPr>
        <w:spacing w:line="4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联系电话：</w:t>
      </w:r>
      <w:r>
        <w:rPr>
          <w:rFonts w:ascii="仿宋" w:hAnsi="仿宋" w:eastAsia="仿宋"/>
          <w:b/>
          <w:color w:val="auto"/>
          <w:sz w:val="28"/>
          <w:szCs w:val="28"/>
        </w:rPr>
        <w:t xml:space="preserve">0379-6733 </w:t>
      </w:r>
      <w:r>
        <w:rPr>
          <w:rFonts w:hint="eastAsia" w:ascii="仿宋" w:hAnsi="仿宋" w:eastAsia="仿宋"/>
          <w:b/>
          <w:color w:val="auto"/>
          <w:sz w:val="28"/>
          <w:szCs w:val="28"/>
        </w:rPr>
        <w:t xml:space="preserve">2040 </w:t>
      </w:r>
    </w:p>
    <w:p w14:paraId="333640DF">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保证金退还：</w:t>
      </w:r>
    </w:p>
    <w:p w14:paraId="43638B1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未中标的投标人的投标保证金，将在招标机构发出《中标通知书》后15日内予以无息退还。</w:t>
      </w:r>
    </w:p>
    <w:p w14:paraId="5CDB0622">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中标人的投标保证金，在签订了合同且满足履约条件后，招标机构将通过投标单位账户全额无息退还。</w:t>
      </w:r>
    </w:p>
    <w:p w14:paraId="598722F6">
      <w:pPr>
        <w:spacing w:line="460" w:lineRule="exact"/>
        <w:ind w:firstLine="560" w:firstLineChars="200"/>
        <w:rPr>
          <w:rFonts w:hint="eastAsia" w:ascii="仿宋" w:hAnsi="仿宋" w:eastAsia="仿宋"/>
          <w:b/>
          <w:color w:val="FF0000"/>
          <w:sz w:val="28"/>
          <w:szCs w:val="28"/>
        </w:rPr>
      </w:pPr>
      <w:r>
        <w:rPr>
          <w:rFonts w:hint="eastAsia" w:ascii="仿宋" w:hAnsi="仿宋" w:eastAsia="仿宋"/>
          <w:sz w:val="28"/>
          <w:szCs w:val="28"/>
        </w:rPr>
        <w:t>发生以下情况之一者，投标保证金将不予退还：</w:t>
      </w:r>
    </w:p>
    <w:p w14:paraId="305524B0">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I.投标人在投标报价有效期内撤回、修改其投标报价（含报价说明）；</w:t>
      </w:r>
    </w:p>
    <w:p w14:paraId="4D6D4E4D">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 投标人以他人名义投标、相互串通投标或者以其他方式弄虚作假的，投标人提交虚假资料或失实资料；</w:t>
      </w:r>
    </w:p>
    <w:p w14:paraId="7561BC0E">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III.投标人被通知中标后，拒绝在规定时间按报价及招标文件要求签订技术协议及商务合同；</w:t>
      </w:r>
    </w:p>
    <w:p w14:paraId="41786E5B">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IV. 投标人违反纪律与保密的有关规定；</w:t>
      </w:r>
    </w:p>
    <w:p w14:paraId="442E69E8">
      <w:pPr>
        <w:spacing w:line="460" w:lineRule="exact"/>
        <w:ind w:firstLine="560" w:firstLineChars="200"/>
        <w:rPr>
          <w:rFonts w:hint="eastAsia" w:ascii="仿宋" w:hAnsi="仿宋" w:eastAsia="仿宋"/>
          <w:spacing w:val="-20"/>
          <w:sz w:val="28"/>
          <w:szCs w:val="28"/>
        </w:rPr>
      </w:pPr>
      <w:r>
        <w:rPr>
          <w:rFonts w:hint="eastAsia" w:ascii="仿宋" w:hAnsi="仿宋" w:eastAsia="仿宋"/>
          <w:sz w:val="28"/>
          <w:szCs w:val="28"/>
        </w:rPr>
        <w:t>V.</w:t>
      </w:r>
      <w:r>
        <w:rPr>
          <w:rFonts w:hint="eastAsia" w:ascii="仿宋" w:hAnsi="仿宋" w:eastAsia="仿宋"/>
          <w:spacing w:val="-20"/>
          <w:sz w:val="28"/>
          <w:szCs w:val="28"/>
        </w:rPr>
        <w:t>若 中标人违约，则该笔保证金将予以扣除，并将投标人列入信用黑名单。</w:t>
      </w:r>
    </w:p>
    <w:p w14:paraId="0814DF31">
      <w:pPr>
        <w:spacing w:line="700" w:lineRule="exact"/>
        <w:rPr>
          <w:rFonts w:hint="eastAsia" w:ascii="仿宋" w:hAnsi="仿宋" w:eastAsia="仿宋"/>
          <w:sz w:val="28"/>
          <w:szCs w:val="24"/>
        </w:rPr>
      </w:pPr>
    </w:p>
    <w:p w14:paraId="4D8528AA">
      <w:pPr>
        <w:spacing w:line="700" w:lineRule="exact"/>
        <w:rPr>
          <w:rFonts w:hint="eastAsia" w:ascii="仿宋" w:hAnsi="仿宋" w:eastAsia="仿宋"/>
          <w:sz w:val="28"/>
          <w:szCs w:val="24"/>
        </w:rPr>
      </w:pPr>
    </w:p>
    <w:p w14:paraId="43A1C2BF">
      <w:pPr>
        <w:spacing w:line="700" w:lineRule="exact"/>
        <w:rPr>
          <w:rFonts w:hint="eastAsia" w:ascii="仿宋" w:hAnsi="仿宋" w:eastAsia="仿宋"/>
          <w:sz w:val="28"/>
          <w:szCs w:val="24"/>
        </w:rPr>
      </w:pPr>
      <w:r>
        <w:rPr>
          <w:rFonts w:hint="eastAsia" w:ascii="仿宋" w:hAnsi="仿宋" w:eastAsia="仿宋"/>
          <w:sz w:val="28"/>
          <w:szCs w:val="24"/>
        </w:rPr>
        <w:t>附件</w:t>
      </w:r>
      <w:r>
        <w:rPr>
          <w:rFonts w:ascii="仿宋" w:hAnsi="仿宋" w:eastAsia="仿宋"/>
          <w:sz w:val="28"/>
          <w:szCs w:val="24"/>
        </w:rPr>
        <w:t xml:space="preserve">1 </w:t>
      </w:r>
      <w:r>
        <w:rPr>
          <w:rFonts w:hint="eastAsia" w:ascii="仿宋" w:hAnsi="仿宋" w:eastAsia="仿宋"/>
          <w:sz w:val="28"/>
          <w:szCs w:val="24"/>
        </w:rPr>
        <w:t>廉政承诺书</w:t>
      </w:r>
    </w:p>
    <w:p w14:paraId="3BC2C812">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6810DA93">
      <w:pPr>
        <w:spacing w:line="480" w:lineRule="exact"/>
        <w:ind w:firstLine="640" w:firstLineChars="200"/>
        <w:rPr>
          <w:rFonts w:ascii="仿宋" w:hAnsi="仿宋" w:eastAsia="仿宋"/>
          <w:sz w:val="32"/>
          <w:szCs w:val="32"/>
        </w:rPr>
      </w:pPr>
    </w:p>
    <w:p w14:paraId="54EE466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EE03C3A">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1DAD81E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71BAEEFD">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3F29ED10">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54AD78C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702915D5">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7、不发生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06018389">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8、不发生其他</w:t>
      </w:r>
      <w:r>
        <w:rPr>
          <w:rFonts w:ascii="仿宋" w:hAnsi="仿宋" w:eastAsia="仿宋"/>
          <w:sz w:val="32"/>
          <w:szCs w:val="32"/>
        </w:rPr>
        <w:t>违反</w:t>
      </w:r>
      <w:r>
        <w:rPr>
          <w:rFonts w:hint="eastAsia" w:ascii="仿宋" w:hAnsi="仿宋" w:eastAsia="仿宋"/>
          <w:sz w:val="32"/>
          <w:szCs w:val="32"/>
        </w:rPr>
        <w:t>招投标法律法规的行为。</w:t>
      </w:r>
    </w:p>
    <w:p w14:paraId="0EB12419">
      <w:pPr>
        <w:spacing w:line="420" w:lineRule="exact"/>
        <w:ind w:firstLine="640" w:firstLineChars="200"/>
        <w:rPr>
          <w:rFonts w:ascii="仿宋" w:hAnsi="仿宋" w:eastAsia="仿宋"/>
          <w:sz w:val="32"/>
          <w:szCs w:val="32"/>
        </w:rPr>
      </w:pPr>
      <w:r>
        <w:rPr>
          <w:rFonts w:hint="eastAsia" w:ascii="仿宋" w:hAnsi="仿宋" w:eastAsia="仿宋"/>
          <w:sz w:val="32"/>
          <w:szCs w:val="32"/>
        </w:rPr>
        <w:t>9、不发生其他不廉洁、不正当行为，包括但不限于给予招标人工作人员及近亲属、特定关系人请吃请喝、购物卡、现金、高档礼品、高档消费、违规合作经商等行为。</w:t>
      </w:r>
    </w:p>
    <w:p w14:paraId="3F7CF51C">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28E9C72E">
      <w:pPr>
        <w:spacing w:line="420" w:lineRule="exact"/>
        <w:rPr>
          <w:rFonts w:ascii="仿宋" w:hAnsi="仿宋" w:eastAsia="仿宋"/>
          <w:sz w:val="32"/>
          <w:szCs w:val="32"/>
        </w:rPr>
      </w:pPr>
    </w:p>
    <w:p w14:paraId="272A06F8">
      <w:pPr>
        <w:spacing w:line="420" w:lineRule="exact"/>
        <w:ind w:firstLine="2240" w:firstLineChars="7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53335D9C">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0129F57F">
      <w:pPr>
        <w:spacing w:line="420" w:lineRule="exact"/>
        <w:ind w:firstLine="4800" w:firstLineChars="1500"/>
        <w:rPr>
          <w:rFonts w:hint="eastAsia" w:ascii="仿宋" w:hAnsi="仿宋" w:eastAsia="仿宋"/>
          <w:sz w:val="32"/>
          <w:szCs w:val="32"/>
        </w:rPr>
      </w:pPr>
      <w:r>
        <w:rPr>
          <w:rFonts w:hint="eastAsia" w:ascii="仿宋" w:hAnsi="仿宋" w:eastAsia="仿宋"/>
          <w:sz w:val="32"/>
          <w:szCs w:val="32"/>
        </w:rPr>
        <w:t>2026年    月    日</w:t>
      </w:r>
    </w:p>
    <w:p w14:paraId="57040B67">
      <w:pPr>
        <w:spacing w:line="500" w:lineRule="exact"/>
        <w:rPr>
          <w:rFonts w:hint="eastAsia" w:ascii="仿宋" w:hAnsi="仿宋" w:eastAsia="仿宋"/>
          <w:sz w:val="28"/>
          <w:szCs w:val="28"/>
        </w:rPr>
      </w:pPr>
    </w:p>
    <w:p w14:paraId="33AB8231">
      <w:pPr>
        <w:spacing w:line="500" w:lineRule="exact"/>
        <w:rPr>
          <w:rFonts w:hint="eastAsia" w:ascii="仿宋" w:hAnsi="仿宋" w:eastAsia="仿宋"/>
          <w:sz w:val="28"/>
          <w:szCs w:val="28"/>
        </w:rPr>
      </w:pPr>
    </w:p>
    <w:p w14:paraId="55AE5503">
      <w:pPr>
        <w:spacing w:line="500" w:lineRule="exact"/>
        <w:rPr>
          <w:rFonts w:hint="eastAsia" w:ascii="仿宋" w:hAnsi="仿宋" w:eastAsia="仿宋"/>
          <w:sz w:val="28"/>
          <w:szCs w:val="28"/>
        </w:rPr>
      </w:pPr>
    </w:p>
    <w:p w14:paraId="1C002B4F">
      <w:pPr>
        <w:spacing w:line="500" w:lineRule="exact"/>
        <w:rPr>
          <w:rFonts w:hint="eastAsia" w:ascii="仿宋" w:hAnsi="仿宋" w:eastAsia="仿宋"/>
          <w:sz w:val="28"/>
          <w:szCs w:val="28"/>
        </w:rPr>
      </w:pPr>
    </w:p>
    <w:p w14:paraId="4D8A39A9">
      <w:pPr>
        <w:spacing w:line="500" w:lineRule="exact"/>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2</w:t>
      </w:r>
      <w:r>
        <w:rPr>
          <w:rFonts w:hint="eastAsia" w:ascii="仿宋" w:hAnsi="仿宋" w:eastAsia="仿宋"/>
          <w:sz w:val="28"/>
          <w:szCs w:val="28"/>
        </w:rPr>
        <w:t xml:space="preserve">  投标人承诺函(格式)</w:t>
      </w:r>
    </w:p>
    <w:p w14:paraId="4AD2D891">
      <w:pPr>
        <w:spacing w:line="500" w:lineRule="exact"/>
        <w:rPr>
          <w:rFonts w:hint="eastAsia" w:ascii="仿宋" w:hAnsi="仿宋" w:eastAsia="仿宋"/>
          <w:sz w:val="40"/>
          <w:szCs w:val="44"/>
        </w:rPr>
      </w:pPr>
    </w:p>
    <w:p w14:paraId="15CB1A28">
      <w:pPr>
        <w:spacing w:line="500" w:lineRule="exact"/>
        <w:ind w:firstLine="3200" w:firstLineChars="800"/>
        <w:rPr>
          <w:rFonts w:hint="eastAsia" w:ascii="仿宋" w:hAnsi="仿宋" w:eastAsia="仿宋"/>
          <w:sz w:val="40"/>
          <w:szCs w:val="44"/>
        </w:rPr>
      </w:pPr>
      <w:r>
        <w:rPr>
          <w:rFonts w:hint="eastAsia" w:ascii="仿宋" w:hAnsi="仿宋" w:eastAsia="仿宋"/>
          <w:sz w:val="40"/>
          <w:szCs w:val="44"/>
        </w:rPr>
        <w:t>投标人承诺函</w:t>
      </w:r>
    </w:p>
    <w:p w14:paraId="2BB71E17">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项目名称：             </w:t>
      </w:r>
    </w:p>
    <w:p w14:paraId="2B0A1C9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日    期：             </w:t>
      </w:r>
    </w:p>
    <w:p w14:paraId="3DF89F15">
      <w:pPr>
        <w:spacing w:line="500" w:lineRule="exact"/>
        <w:rPr>
          <w:rFonts w:hint="eastAsia" w:ascii="仿宋" w:hAnsi="仿宋" w:eastAsia="仿宋"/>
          <w:sz w:val="28"/>
          <w:szCs w:val="28"/>
        </w:rPr>
      </w:pPr>
      <w:r>
        <w:rPr>
          <w:rFonts w:hint="eastAsia" w:ascii="仿宋" w:hAnsi="仿宋" w:eastAsia="仿宋"/>
          <w:sz w:val="28"/>
          <w:szCs w:val="28"/>
        </w:rPr>
        <w:t>致：(招标机构名称)</w:t>
      </w:r>
    </w:p>
    <w:p w14:paraId="05FBBFA0">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(招标人名称)  </w:t>
      </w:r>
    </w:p>
    <w:p w14:paraId="25F30C2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很荣幸能参与上述项目的投标。</w:t>
      </w:r>
    </w:p>
    <w:p w14:paraId="78271D3F">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我代表(投标人名称)，在此作如下承诺：</w:t>
      </w:r>
    </w:p>
    <w:p w14:paraId="0F99E03E">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1、完全理解和接受招标文件的一切规定和要求。</w:t>
      </w:r>
    </w:p>
    <w:p w14:paraId="1D3C62CC">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2、投标报价在投标有效期和合同有效期内，该报价固定不变。</w:t>
      </w:r>
    </w:p>
    <w:p w14:paraId="30A6EF65">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若中标，我方将按照招标文件的具体规定与项目法人签订合同，并且严格履行合同义务，按时完工，为项目提供优质的设备和服务。如果在合同执行过程中，发现合同设备质量问题，我方一定尽快修理更换/返工，并承担相应的经济责任。</w:t>
      </w:r>
    </w:p>
    <w:p w14:paraId="0F3AD3E1">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4、在整个招标过程中，我方若有违规行为，贵方可按招标文件之规定给予处理，我方完全接受。</w:t>
      </w:r>
    </w:p>
    <w:p w14:paraId="5EDF1E93">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5、若中标，本承诺函将成为合同不可分割的一部分，与合同具有同等的法律效力。</w:t>
      </w:r>
    </w:p>
    <w:p w14:paraId="30A4E451">
      <w:pPr>
        <w:spacing w:line="500" w:lineRule="exact"/>
        <w:rPr>
          <w:rFonts w:hint="eastAsia" w:ascii="仿宋" w:hAnsi="仿宋" w:eastAsia="仿宋"/>
          <w:sz w:val="28"/>
          <w:szCs w:val="28"/>
        </w:rPr>
      </w:pPr>
    </w:p>
    <w:p w14:paraId="40D7B504">
      <w:pPr>
        <w:spacing w:line="500" w:lineRule="exact"/>
        <w:ind w:firstLine="5600" w:firstLineChars="2000"/>
        <w:rPr>
          <w:rFonts w:hint="eastAsia" w:ascii="仿宋" w:hAnsi="仿宋" w:eastAsia="仿宋"/>
          <w:sz w:val="28"/>
          <w:szCs w:val="28"/>
        </w:rPr>
      </w:pPr>
      <w:r>
        <w:rPr>
          <w:rFonts w:hint="eastAsia" w:ascii="仿宋" w:hAnsi="仿宋" w:eastAsia="仿宋"/>
          <w:sz w:val="28"/>
          <w:szCs w:val="28"/>
        </w:rPr>
        <w:t xml:space="preserve">投标人代表签字：               </w:t>
      </w:r>
    </w:p>
    <w:p w14:paraId="2E484022">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投标人公章： </w:t>
      </w:r>
    </w:p>
    <w:p w14:paraId="24D11E7D">
      <w:pPr>
        <w:spacing w:line="500" w:lineRule="exact"/>
        <w:ind w:firstLine="560" w:firstLineChars="200"/>
        <w:rPr>
          <w:rFonts w:hint="eastAsia"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日期：</w:t>
      </w:r>
    </w:p>
    <w:p w14:paraId="058B557D">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4D5B591A">
      <w:pPr>
        <w:spacing w:line="500" w:lineRule="exact"/>
        <w:ind w:firstLine="560" w:firstLineChars="200"/>
        <w:rPr>
          <w:rFonts w:hint="eastAsia" w:ascii="仿宋" w:hAnsi="仿宋" w:eastAsia="仿宋"/>
          <w:sz w:val="28"/>
          <w:szCs w:val="28"/>
        </w:rPr>
      </w:pPr>
    </w:p>
    <w:p w14:paraId="4476193B">
      <w:pPr>
        <w:spacing w:line="500" w:lineRule="exact"/>
        <w:ind w:firstLine="560" w:firstLineChars="200"/>
        <w:rPr>
          <w:rFonts w:hint="eastAsia" w:ascii="仿宋" w:hAnsi="仿宋" w:eastAsia="仿宋"/>
          <w:sz w:val="28"/>
          <w:szCs w:val="28"/>
        </w:rPr>
      </w:pPr>
    </w:p>
    <w:p w14:paraId="01B2BDA9">
      <w:pPr>
        <w:spacing w:line="360" w:lineRule="auto"/>
      </w:pPr>
    </w:p>
    <w:p w14:paraId="4122ABF9">
      <w:pPr>
        <w:pStyle w:val="47"/>
        <w:spacing w:line="240" w:lineRule="auto"/>
        <w:jc w:val="both"/>
        <w:rPr>
          <w:rFonts w:hint="eastAsia" w:ascii="仿宋" w:hAnsi="仿宋" w:eastAsia="仿宋" w:cs="仿宋_GB2312"/>
          <w:snapToGrid/>
          <w:color w:val="000000" w:themeColor="text1"/>
          <w:szCs w:val="28"/>
          <w14:textFill>
            <w14:solidFill>
              <w14:schemeClr w14:val="tx1"/>
            </w14:solidFill>
          </w14:textFill>
        </w:rPr>
      </w:pPr>
    </w:p>
    <w:p w14:paraId="6A2C5669">
      <w:pPr>
        <w:pStyle w:val="47"/>
        <w:spacing w:line="240" w:lineRule="auto"/>
        <w:jc w:val="both"/>
        <w:rPr>
          <w:rFonts w:hint="eastAsia" w:ascii="仿宋" w:hAnsi="仿宋" w:eastAsia="仿宋"/>
          <w:color w:val="000000" w:themeColor="text1"/>
          <w:szCs w:val="28"/>
          <w14:textFill>
            <w14:solidFill>
              <w14:schemeClr w14:val="tx1"/>
            </w14:solidFill>
          </w14:textFill>
        </w:rPr>
      </w:pPr>
      <w:bookmarkStart w:id="0" w:name="_Toc168067557"/>
      <w:bookmarkStart w:id="1" w:name="_Toc171089833"/>
      <w:r>
        <w:rPr>
          <w:rFonts w:hint="eastAsia" w:ascii="仿宋" w:hAnsi="仿宋" w:eastAsia="仿宋" w:cs="仿宋_GB2312"/>
          <w:snapToGrid/>
          <w:color w:val="000000" w:themeColor="text1"/>
          <w:szCs w:val="28"/>
          <w14:textFill>
            <w14:solidFill>
              <w14:schemeClr w14:val="tx1"/>
            </w14:solidFill>
          </w14:textFill>
        </w:rPr>
        <w:t>附件</w:t>
      </w:r>
      <w:r>
        <w:rPr>
          <w:rFonts w:ascii="仿宋" w:hAnsi="仿宋" w:eastAsia="仿宋" w:cs="仿宋_GB2312"/>
          <w:snapToGrid/>
          <w:color w:val="000000" w:themeColor="text1"/>
          <w:szCs w:val="28"/>
          <w14:textFill>
            <w14:solidFill>
              <w14:schemeClr w14:val="tx1"/>
            </w14:solidFill>
          </w14:textFill>
        </w:rPr>
        <w:t>3</w:t>
      </w:r>
      <w:r>
        <w:rPr>
          <w:rFonts w:hint="eastAsia" w:ascii="仿宋" w:hAnsi="仿宋" w:eastAsia="仿宋" w:cs="仿宋_GB2312"/>
          <w:snapToGrid/>
          <w:color w:val="000000" w:themeColor="text1"/>
          <w:szCs w:val="28"/>
          <w14:textFill>
            <w14:solidFill>
              <w14:schemeClr w14:val="tx1"/>
            </w14:solidFill>
          </w14:textFill>
        </w:rPr>
        <w:t>、投标人法定代表人授权书</w:t>
      </w:r>
      <w:r>
        <w:rPr>
          <w:rFonts w:ascii="仿宋" w:hAnsi="仿宋" w:eastAsia="仿宋" w:cs="仿宋_GB2312"/>
          <w:snapToGrid/>
          <w:color w:val="000000" w:themeColor="text1"/>
          <w:szCs w:val="28"/>
          <w14:textFill>
            <w14:solidFill>
              <w14:schemeClr w14:val="tx1"/>
            </w14:solidFill>
          </w14:textFill>
        </w:rPr>
        <w:t>(</w:t>
      </w:r>
      <w:r>
        <w:rPr>
          <w:rFonts w:hint="eastAsia" w:ascii="仿宋" w:hAnsi="仿宋" w:eastAsia="仿宋" w:cs="仿宋_GB2312"/>
          <w:snapToGrid/>
          <w:color w:val="000000" w:themeColor="text1"/>
          <w:szCs w:val="28"/>
          <w14:textFill>
            <w14:solidFill>
              <w14:schemeClr w14:val="tx1"/>
            </w14:solidFill>
          </w14:textFill>
        </w:rPr>
        <w:t>格式</w:t>
      </w:r>
      <w:r>
        <w:rPr>
          <w:rFonts w:ascii="仿宋" w:hAnsi="仿宋" w:eastAsia="仿宋" w:cs="仿宋_GB2312"/>
          <w:snapToGrid/>
          <w:color w:val="000000" w:themeColor="text1"/>
          <w:szCs w:val="28"/>
          <w14:textFill>
            <w14:solidFill>
              <w14:schemeClr w14:val="tx1"/>
            </w14:solidFill>
          </w14:textFill>
        </w:rPr>
        <w:t>)</w:t>
      </w:r>
      <w:bookmarkEnd w:id="0"/>
      <w:bookmarkEnd w:id="1"/>
    </w:p>
    <w:p w14:paraId="41FBDAA7">
      <w:pPr>
        <w:pStyle w:val="47"/>
        <w:spacing w:line="240" w:lineRule="exact"/>
        <w:rPr>
          <w:rFonts w:hint="eastAsia" w:ascii="仿宋" w:hAnsi="仿宋" w:eastAsia="仿宋" w:cs="仿宋_GB2312"/>
          <w:snapToGrid/>
          <w:color w:val="000000" w:themeColor="text1"/>
          <w:szCs w:val="28"/>
          <w14:textFill>
            <w14:solidFill>
              <w14:schemeClr w14:val="tx1"/>
            </w14:solidFill>
          </w14:textFill>
        </w:rPr>
      </w:pPr>
    </w:p>
    <w:p w14:paraId="760010B5">
      <w:pPr>
        <w:pStyle w:val="47"/>
        <w:rPr>
          <w:rFonts w:hint="eastAsia" w:asciiTheme="majorEastAsia" w:hAnsiTheme="majorEastAsia" w:eastAsiaTheme="majorEastAsia"/>
          <w:b/>
          <w:bCs/>
          <w:snapToGrid/>
          <w:color w:val="000000" w:themeColor="text1"/>
          <w:sz w:val="44"/>
          <w:szCs w:val="44"/>
          <w14:textFill>
            <w14:solidFill>
              <w14:schemeClr w14:val="tx1"/>
            </w14:solidFill>
          </w14:textFill>
        </w:rPr>
      </w:pPr>
      <w:bookmarkStart w:id="2" w:name="_Toc168067558"/>
      <w:bookmarkStart w:id="3" w:name="_Toc171089834"/>
      <w:r>
        <w:rPr>
          <w:rFonts w:hint="eastAsia" w:asciiTheme="majorEastAsia" w:hAnsiTheme="majorEastAsia" w:eastAsiaTheme="majorEastAsia"/>
          <w:b/>
          <w:bCs/>
          <w:snapToGrid/>
          <w:color w:val="000000" w:themeColor="text1"/>
          <w:sz w:val="44"/>
          <w:szCs w:val="44"/>
          <w14:textFill>
            <w14:solidFill>
              <w14:schemeClr w14:val="tx1"/>
            </w14:solidFill>
          </w14:textFill>
        </w:rPr>
        <w:t>投标人法定代表人授权书</w:t>
      </w:r>
      <w:bookmarkEnd w:id="2"/>
      <w:bookmarkEnd w:id="3"/>
    </w:p>
    <w:p w14:paraId="7B8DDA00">
      <w:pPr>
        <w:rPr>
          <w:color w:val="000000" w:themeColor="text1"/>
          <w14:textFill>
            <w14:solidFill>
              <w14:schemeClr w14:val="tx1"/>
            </w14:solidFill>
          </w14:textFill>
        </w:rPr>
      </w:pPr>
    </w:p>
    <w:p w14:paraId="0BF121B9">
      <w:pPr>
        <w:ind w:firstLine="5320" w:firstLineChars="1900"/>
        <w:rPr>
          <w:rFonts w:hint="eastAsia"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3CA76317">
      <w:pPr>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 xml:space="preserve"> 日    期：</w:t>
      </w:r>
      <w:r>
        <w:rPr>
          <w:rFonts w:hint="eastAsia" w:ascii="仿宋" w:hAnsi="仿宋" w:eastAsia="仿宋" w:cs="仿宋_GB2312"/>
          <w:color w:val="000000" w:themeColor="text1"/>
          <w:sz w:val="28"/>
          <w:szCs w:val="28"/>
          <w:u w:val="single"/>
          <w14:textFill>
            <w14:solidFill>
              <w14:schemeClr w14:val="tx1"/>
            </w14:solidFill>
          </w14:textFill>
        </w:rPr>
        <w:t xml:space="preserve">               </w:t>
      </w:r>
    </w:p>
    <w:p w14:paraId="7C913BA0">
      <w:pPr>
        <w:spacing w:line="360" w:lineRule="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万基控股集团有限公司招标办公室：</w:t>
      </w:r>
    </w:p>
    <w:p w14:paraId="6AA953E5">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 xml:space="preserve">投标人名称 </w:t>
      </w:r>
      <w:r>
        <w:rPr>
          <w:rFonts w:hint="eastAsia" w:ascii="仿宋" w:hAnsi="仿宋" w:eastAsia="仿宋"/>
          <w:color w:val="000000" w:themeColor="text1"/>
          <w:sz w:val="32"/>
          <w:szCs w:val="32"/>
          <w14:textFill>
            <w14:solidFill>
              <w14:schemeClr w14:val="tx1"/>
            </w14:solidFill>
          </w14:textFill>
        </w:rPr>
        <w:t>)是中华人民共和国合法企业，法定地址：</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  </w:t>
      </w:r>
      <w:r>
        <w:rPr>
          <w:rFonts w:ascii="仿宋" w:hAnsi="仿宋" w:eastAsia="仿宋"/>
          <w:color w:val="000000" w:themeColor="text1"/>
          <w:sz w:val="32"/>
          <w:szCs w:val="32"/>
          <w14:textFill>
            <w14:solidFill>
              <w14:schemeClr w14:val="tx1"/>
            </w14:solidFill>
          </w14:textFill>
        </w:rPr>
        <w:t xml:space="preserve">  </w:t>
      </w:r>
    </w:p>
    <w:p w14:paraId="7D04723F">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u w:val="single"/>
          <w14:textFill>
            <w14:solidFill>
              <w14:schemeClr w14:val="tx1"/>
            </w14:solidFill>
          </w14:textFill>
        </w:rPr>
        <w:t>授权人姓名</w:t>
      </w:r>
      <w:r>
        <w:rPr>
          <w:rFonts w:hint="eastAsia" w:ascii="仿宋" w:hAnsi="仿宋" w:eastAsia="仿宋"/>
          <w:color w:val="000000" w:themeColor="text1"/>
          <w:sz w:val="32"/>
          <w:szCs w:val="32"/>
          <w14:textFill>
            <w14:solidFill>
              <w14:schemeClr w14:val="tx1"/>
            </w14:solidFill>
          </w14:textFill>
        </w:rPr>
        <w:t xml:space="preserve"> )特授权(</w:t>
      </w:r>
      <w:r>
        <w:rPr>
          <w:rFonts w:hint="eastAsia" w:ascii="仿宋" w:hAnsi="仿宋" w:eastAsia="仿宋"/>
          <w:color w:val="000000" w:themeColor="text1"/>
          <w:sz w:val="32"/>
          <w:szCs w:val="32"/>
          <w:u w:val="single"/>
          <w14:textFill>
            <w14:solidFill>
              <w14:schemeClr w14:val="tx1"/>
            </w14:solidFill>
          </w14:textFill>
        </w:rPr>
        <w:t>被授权人姓名</w:t>
      </w:r>
      <w:r>
        <w:rPr>
          <w:rFonts w:hint="eastAsia" w:ascii="仿宋" w:hAnsi="仿宋" w:eastAsia="仿宋"/>
          <w:color w:val="000000" w:themeColor="text1"/>
          <w:sz w:val="32"/>
          <w:szCs w:val="32"/>
          <w14:textFill>
            <w14:solidFill>
              <w14:schemeClr w14:val="tx1"/>
            </w14:solidFill>
          </w14:textFill>
        </w:rPr>
        <w:t>)代表我公司全权办理针上述项目的投标、谈判、签约等具体工作，并签署全部有关的文件、协议及合同，我公司对被授权人的签名负全部责任。</w:t>
      </w:r>
    </w:p>
    <w:p w14:paraId="2E9FD6F8">
      <w:pPr>
        <w:spacing w:line="360" w:lineRule="auto"/>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4506BA24">
      <w:pPr>
        <w:spacing w:line="360" w:lineRule="auto"/>
        <w:rPr>
          <w:rFonts w:hint="eastAsia" w:ascii="仿宋" w:hAnsi="仿宋" w:eastAsia="仿宋"/>
          <w:color w:val="000000" w:themeColor="text1"/>
          <w:sz w:val="32"/>
          <w:szCs w:val="32"/>
          <w14:textFill>
            <w14:solidFill>
              <w14:schemeClr w14:val="tx1"/>
            </w14:solidFill>
          </w14:textFill>
        </w:rPr>
      </w:pPr>
    </w:p>
    <w:p w14:paraId="2E1FCCF3">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被授权人签名：</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授权人签名：</w:t>
      </w:r>
      <w:r>
        <w:rPr>
          <w:rFonts w:hint="eastAsia" w:ascii="仿宋" w:hAnsi="仿宋" w:eastAsia="仿宋"/>
          <w:color w:val="000000" w:themeColor="text1"/>
          <w:sz w:val="32"/>
          <w:szCs w:val="32"/>
          <w:u w:val="single"/>
          <w14:textFill>
            <w14:solidFill>
              <w14:schemeClr w14:val="tx1"/>
            </w14:solidFill>
          </w14:textFill>
        </w:rPr>
        <w:t xml:space="preserve">                </w:t>
      </w:r>
    </w:p>
    <w:p w14:paraId="15063FE6">
      <w:pPr>
        <w:spacing w:line="640" w:lineRule="exact"/>
        <w:rPr>
          <w:rFonts w:hint="eastAsia" w:ascii="仿宋" w:hAnsi="仿宋" w:eastAsia="仿宋"/>
          <w:color w:val="000000" w:themeColor="text1"/>
          <w:sz w:val="32"/>
          <w:szCs w:val="32"/>
          <w:u w:val="singl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职      务：</w:t>
      </w:r>
      <w:r>
        <w:rPr>
          <w:rFonts w:hint="eastAsia" w:ascii="仿宋" w:hAnsi="仿宋" w:eastAsia="仿宋"/>
          <w:color w:val="000000" w:themeColor="text1"/>
          <w:sz w:val="32"/>
          <w:szCs w:val="32"/>
          <w:u w:val="single"/>
          <w14:textFill>
            <w14:solidFill>
              <w14:schemeClr w14:val="tx1"/>
            </w14:solidFill>
          </w14:textFill>
        </w:rPr>
        <w:t xml:space="preserve">                </w:t>
      </w:r>
    </w:p>
    <w:p w14:paraId="2BCE282F">
      <w:pPr>
        <w:spacing w:line="640" w:lineRule="exact"/>
        <w:ind w:left="72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投标人公章：</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 xml:space="preserve">                 </w:t>
      </w:r>
    </w:p>
    <w:p w14:paraId="1EE84D72">
      <w:pPr>
        <w:spacing w:line="700" w:lineRule="exact"/>
        <w:rPr>
          <w:rFonts w:hint="eastAsia" w:ascii="仿宋" w:hAnsi="仿宋" w:eastAsia="仿宋"/>
          <w:sz w:val="28"/>
          <w:szCs w:val="24"/>
        </w:rPr>
      </w:pPr>
    </w:p>
    <w:p w14:paraId="50EFD4FF">
      <w:pPr>
        <w:spacing w:line="700" w:lineRule="exact"/>
        <w:rPr>
          <w:rFonts w:hint="eastAsia" w:ascii="仿宋" w:hAnsi="仿宋" w:eastAsia="仿宋"/>
          <w:sz w:val="28"/>
          <w:szCs w:val="24"/>
        </w:rPr>
      </w:pPr>
    </w:p>
    <w:p w14:paraId="1BCB1886">
      <w:pPr>
        <w:spacing w:line="700" w:lineRule="exact"/>
        <w:rPr>
          <w:rFonts w:hint="eastAsia" w:ascii="仿宋" w:hAnsi="仿宋" w:eastAsia="仿宋"/>
          <w:sz w:val="28"/>
          <w:szCs w:val="24"/>
        </w:rPr>
      </w:pPr>
    </w:p>
    <w:p w14:paraId="59789702">
      <w:pPr>
        <w:tabs>
          <w:tab w:val="left" w:pos="630"/>
          <w:tab w:val="left" w:pos="7560"/>
        </w:tabs>
        <w:spacing w:line="360" w:lineRule="auto"/>
        <w:rPr>
          <w:rFonts w:hint="eastAsia" w:ascii="仿宋" w:hAnsi="仿宋" w:eastAsia="仿宋"/>
          <w:sz w:val="28"/>
          <w:szCs w:val="28"/>
        </w:rPr>
      </w:pPr>
    </w:p>
    <w:p w14:paraId="024608C3">
      <w:pPr>
        <w:tabs>
          <w:tab w:val="left" w:pos="630"/>
          <w:tab w:val="left" w:pos="7560"/>
        </w:tabs>
        <w:spacing w:line="360" w:lineRule="auto"/>
        <w:rPr>
          <w:rFonts w:hint="eastAsia" w:ascii="仿宋" w:hAnsi="仿宋" w:eastAsia="仿宋"/>
          <w:sz w:val="28"/>
          <w:szCs w:val="28"/>
        </w:rPr>
      </w:pPr>
    </w:p>
    <w:p w14:paraId="53CADCEE">
      <w:pPr>
        <w:tabs>
          <w:tab w:val="left" w:pos="630"/>
          <w:tab w:val="left" w:pos="7560"/>
        </w:tabs>
        <w:spacing w:line="360" w:lineRule="auto"/>
        <w:rPr>
          <w:rFonts w:hint="eastAsia"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 xml:space="preserve">  投标人资格声明函</w:t>
      </w:r>
    </w:p>
    <w:p w14:paraId="288A8A3B">
      <w:pPr>
        <w:tabs>
          <w:tab w:val="left" w:pos="630"/>
        </w:tabs>
        <w:spacing w:line="360" w:lineRule="auto"/>
        <w:jc w:val="center"/>
        <w:rPr>
          <w:rFonts w:hint="eastAsia" w:ascii="仿宋" w:hAnsi="仿宋" w:eastAsia="仿宋"/>
          <w:b/>
          <w:sz w:val="44"/>
          <w:szCs w:val="44"/>
        </w:rPr>
      </w:pPr>
    </w:p>
    <w:p w14:paraId="65E5B5E6">
      <w:pPr>
        <w:tabs>
          <w:tab w:val="left" w:pos="630"/>
        </w:tabs>
        <w:spacing w:line="360" w:lineRule="auto"/>
        <w:jc w:val="center"/>
        <w:rPr>
          <w:rFonts w:hint="eastAsia" w:ascii="仿宋" w:hAnsi="仿宋" w:eastAsia="仿宋"/>
          <w:b/>
          <w:sz w:val="44"/>
          <w:szCs w:val="44"/>
        </w:rPr>
      </w:pPr>
      <w:r>
        <w:rPr>
          <w:rFonts w:ascii="仿宋" w:hAnsi="仿宋" w:eastAsia="仿宋"/>
          <w:b/>
          <w:sz w:val="44"/>
          <w:szCs w:val="44"/>
        </w:rPr>
        <w:t>投标人关于资格的声明函</w:t>
      </w:r>
    </w:p>
    <w:p w14:paraId="388028CC">
      <w:pPr>
        <w:tabs>
          <w:tab w:val="left" w:pos="630"/>
        </w:tabs>
        <w:spacing w:line="240" w:lineRule="exact"/>
        <w:rPr>
          <w:rFonts w:hint="eastAsia" w:ascii="仿宋" w:hAnsi="仿宋" w:eastAsia="仿宋"/>
          <w:sz w:val="28"/>
        </w:rPr>
      </w:pPr>
    </w:p>
    <w:p w14:paraId="27A9F7B2">
      <w:pPr>
        <w:tabs>
          <w:tab w:val="left" w:pos="630"/>
        </w:tabs>
        <w:spacing w:line="360" w:lineRule="auto"/>
        <w:rPr>
          <w:rFonts w:hint="eastAsia" w:ascii="仿宋" w:hAnsi="仿宋" w:eastAsia="仿宋"/>
          <w:sz w:val="32"/>
          <w:szCs w:val="32"/>
          <w:u w:val="single"/>
        </w:rPr>
      </w:pPr>
      <w:r>
        <w:rPr>
          <w:rFonts w:ascii="仿宋" w:hAnsi="仿宋" w:eastAsia="仿宋"/>
          <w:sz w:val="32"/>
          <w:szCs w:val="32"/>
        </w:rPr>
        <w:t>项目名称：</w:t>
      </w:r>
      <w:r>
        <w:rPr>
          <w:rFonts w:hint="eastAsia" w:ascii="仿宋" w:hAnsi="仿宋" w:eastAsia="仿宋"/>
          <w:sz w:val="32"/>
          <w:szCs w:val="32"/>
          <w:u w:val="single"/>
        </w:rPr>
        <w:t xml:space="preserve"> </w:t>
      </w:r>
      <w:r>
        <w:rPr>
          <w:rFonts w:ascii="仿宋" w:hAnsi="仿宋" w:eastAsia="仿宋"/>
          <w:sz w:val="32"/>
          <w:szCs w:val="32"/>
          <w:u w:val="single"/>
        </w:rPr>
        <w:t>*********************</w:t>
      </w:r>
      <w:r>
        <w:rPr>
          <w:rFonts w:hint="eastAsia" w:ascii="仿宋" w:hAnsi="仿宋" w:eastAsia="仿宋"/>
          <w:sz w:val="32"/>
          <w:szCs w:val="32"/>
          <w:u w:val="single"/>
        </w:rPr>
        <w:t>项目</w:t>
      </w:r>
    </w:p>
    <w:p w14:paraId="3E903C7C">
      <w:pPr>
        <w:tabs>
          <w:tab w:val="left" w:pos="630"/>
        </w:tabs>
        <w:spacing w:line="360" w:lineRule="auto"/>
        <w:rPr>
          <w:rFonts w:hint="eastAsia" w:ascii="仿宋" w:hAnsi="仿宋" w:eastAsia="仿宋"/>
          <w:sz w:val="32"/>
          <w:szCs w:val="32"/>
          <w:u w:val="single"/>
        </w:rPr>
      </w:pPr>
      <w:r>
        <w:rPr>
          <w:rFonts w:ascii="仿宋" w:hAnsi="仿宋" w:eastAsia="仿宋"/>
          <w:sz w:val="32"/>
          <w:szCs w:val="32"/>
        </w:rPr>
        <w:t xml:space="preserve">日    期： </w:t>
      </w:r>
      <w:r>
        <w:rPr>
          <w:rFonts w:ascii="仿宋" w:hAnsi="仿宋" w:eastAsia="仿宋"/>
          <w:sz w:val="32"/>
          <w:szCs w:val="32"/>
          <w:u w:val="single"/>
        </w:rPr>
        <w:t xml:space="preserve">            </w:t>
      </w:r>
    </w:p>
    <w:p w14:paraId="3E6D2C33">
      <w:pPr>
        <w:tabs>
          <w:tab w:val="left" w:pos="630"/>
        </w:tabs>
        <w:spacing w:line="360" w:lineRule="auto"/>
        <w:rPr>
          <w:rFonts w:hint="eastAsia" w:ascii="仿宋" w:hAnsi="仿宋" w:eastAsia="仿宋"/>
          <w:sz w:val="32"/>
          <w:szCs w:val="32"/>
        </w:rPr>
      </w:pPr>
    </w:p>
    <w:p w14:paraId="7D45817B">
      <w:pPr>
        <w:tabs>
          <w:tab w:val="left" w:pos="630"/>
        </w:tabs>
        <w:spacing w:line="360" w:lineRule="auto"/>
        <w:rPr>
          <w:rFonts w:hint="eastAsia" w:ascii="仿宋" w:hAnsi="仿宋" w:eastAsia="仿宋"/>
          <w:sz w:val="32"/>
          <w:szCs w:val="32"/>
        </w:rPr>
      </w:pPr>
      <w:r>
        <w:rPr>
          <w:rFonts w:ascii="仿宋" w:hAnsi="仿宋" w:eastAsia="仿宋"/>
          <w:sz w:val="32"/>
          <w:szCs w:val="32"/>
        </w:rPr>
        <w:t>致：</w:t>
      </w:r>
      <w:r>
        <w:rPr>
          <w:rFonts w:hint="eastAsia" w:ascii="仿宋" w:hAnsi="仿宋" w:eastAsia="仿宋"/>
          <w:sz w:val="32"/>
          <w:szCs w:val="32"/>
          <w:u w:val="single"/>
        </w:rPr>
        <w:t>万基控股集团有限公司招标办公室</w:t>
      </w:r>
      <w:r>
        <w:rPr>
          <w:rFonts w:ascii="仿宋" w:hAnsi="仿宋" w:eastAsia="仿宋"/>
          <w:sz w:val="32"/>
          <w:szCs w:val="32"/>
        </w:rPr>
        <w:t>：</w:t>
      </w:r>
    </w:p>
    <w:p w14:paraId="6E854D88">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我公司愿意针对上述项目进行投标。投标文件中所有关于投标人资格的文件、证明、陈述均是真实的、准确的。若有违背，我公司承担由此而产生的一切后果。</w:t>
      </w:r>
    </w:p>
    <w:p w14:paraId="0AFC525F">
      <w:pPr>
        <w:tabs>
          <w:tab w:val="left" w:pos="630"/>
        </w:tabs>
        <w:spacing w:line="360" w:lineRule="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特此声明！</w:t>
      </w:r>
    </w:p>
    <w:p w14:paraId="0CF0B2A6">
      <w:pPr>
        <w:tabs>
          <w:tab w:val="left" w:pos="630"/>
          <w:tab w:val="left" w:pos="7455"/>
        </w:tabs>
        <w:spacing w:line="360" w:lineRule="auto"/>
        <w:rPr>
          <w:rFonts w:hint="eastAsia" w:ascii="仿宋" w:hAnsi="仿宋" w:eastAsia="仿宋"/>
          <w:sz w:val="32"/>
          <w:szCs w:val="32"/>
        </w:rPr>
      </w:pPr>
      <w:r>
        <w:rPr>
          <w:rFonts w:ascii="仿宋" w:hAnsi="仿宋" w:eastAsia="仿宋"/>
          <w:sz w:val="32"/>
          <w:szCs w:val="32"/>
        </w:rPr>
        <w:t xml:space="preserve">                                   投标人代表签字：</w:t>
      </w:r>
      <w:r>
        <w:rPr>
          <w:rFonts w:ascii="仿宋" w:hAnsi="仿宋" w:eastAsia="仿宋"/>
          <w:sz w:val="32"/>
          <w:szCs w:val="32"/>
          <w:u w:val="single"/>
        </w:rPr>
        <w:tab/>
      </w:r>
    </w:p>
    <w:p w14:paraId="09023D42">
      <w:pPr>
        <w:rPr>
          <w:rFonts w:hint="eastAsia" w:ascii="仿宋" w:hAnsi="仿宋" w:eastAsia="仿宋"/>
          <w:sz w:val="32"/>
          <w:szCs w:val="32"/>
        </w:rPr>
      </w:pPr>
      <w:r>
        <w:rPr>
          <w:rFonts w:ascii="仿宋" w:hAnsi="仿宋" w:eastAsia="仿宋"/>
          <w:sz w:val="32"/>
          <w:szCs w:val="32"/>
        </w:rPr>
        <w:t xml:space="preserve">                                       投标人公章：</w:t>
      </w:r>
    </w:p>
    <w:p w14:paraId="35F4D43C">
      <w:pPr>
        <w:spacing w:line="360" w:lineRule="auto"/>
      </w:pPr>
    </w:p>
    <w:p w14:paraId="0C7ED1AD">
      <w:pPr>
        <w:spacing w:line="360" w:lineRule="auto"/>
      </w:pPr>
    </w:p>
    <w:p w14:paraId="783E7F15">
      <w:pPr>
        <w:spacing w:line="360" w:lineRule="auto"/>
      </w:pPr>
    </w:p>
    <w:p w14:paraId="109E5366">
      <w:pPr>
        <w:spacing w:line="360" w:lineRule="auto"/>
      </w:pPr>
    </w:p>
    <w:p w14:paraId="24F232D1">
      <w:pPr>
        <w:spacing w:line="360" w:lineRule="auto"/>
      </w:pPr>
    </w:p>
    <w:p w14:paraId="7A944FB1">
      <w:pPr>
        <w:spacing w:line="360" w:lineRule="auto"/>
      </w:pPr>
    </w:p>
    <w:p w14:paraId="26C23C5A">
      <w:pPr>
        <w:spacing w:line="360" w:lineRule="auto"/>
      </w:pPr>
    </w:p>
    <w:p w14:paraId="37E2CD81">
      <w:pPr>
        <w:spacing w:line="360" w:lineRule="auto"/>
      </w:pPr>
    </w:p>
    <w:p w14:paraId="6DC46825">
      <w:pPr>
        <w:spacing w:line="360" w:lineRule="auto"/>
      </w:pPr>
    </w:p>
    <w:p w14:paraId="2FD3A635">
      <w:pPr>
        <w:spacing w:line="360" w:lineRule="auto"/>
      </w:pPr>
    </w:p>
    <w:p w14:paraId="374F9D97">
      <w:pPr>
        <w:spacing w:line="360" w:lineRule="auto"/>
      </w:pPr>
    </w:p>
    <w:p w14:paraId="1647B48B">
      <w:pPr>
        <w:spacing w:line="360" w:lineRule="auto"/>
      </w:pPr>
    </w:p>
    <w:p w14:paraId="33112324">
      <w:pPr>
        <w:spacing w:line="360" w:lineRule="auto"/>
      </w:pPr>
    </w:p>
    <w:p w14:paraId="39B16940">
      <w:pPr>
        <w:spacing w:line="360" w:lineRule="auto"/>
        <w:rPr>
          <w:rFonts w:hint="eastAsia" w:eastAsia="仿宋"/>
          <w:lang w:val="en-US" w:eastAsia="zh-CN"/>
        </w:rPr>
      </w:pPr>
      <w:r>
        <w:rPr>
          <w:rFonts w:hint="eastAsia" w:ascii="仿宋" w:hAnsi="仿宋" w:eastAsia="仿宋"/>
          <w:sz w:val="28"/>
          <w:szCs w:val="24"/>
        </w:rPr>
        <w:t xml:space="preserve">附件5 </w:t>
      </w:r>
      <w:r>
        <w:rPr>
          <w:rFonts w:hint="eastAsia" w:ascii="仿宋" w:hAnsi="仿宋" w:eastAsia="仿宋"/>
          <w:sz w:val="28"/>
          <w:szCs w:val="24"/>
          <w:lang w:val="en-US" w:eastAsia="zh-CN"/>
        </w:rPr>
        <w:t>报价单</w:t>
      </w:r>
    </w:p>
    <w:p w14:paraId="54C3398B">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p>
    <w:p w14:paraId="2F6E612C">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Times New Roman"/>
          <w:b/>
          <w:bCs/>
          <w:color w:val="auto"/>
          <w:sz w:val="44"/>
          <w:szCs w:val="44"/>
          <w:lang w:val="en-US" w:eastAsia="zh-CN"/>
        </w:rPr>
      </w:pPr>
      <w:r>
        <w:rPr>
          <w:rFonts w:hint="eastAsia" w:ascii="仿宋" w:hAnsi="仿宋" w:eastAsia="仿宋" w:cs="Times New Roman"/>
          <w:b/>
          <w:bCs/>
          <w:color w:val="auto"/>
          <w:sz w:val="44"/>
          <w:szCs w:val="44"/>
          <w:lang w:val="en-US" w:eastAsia="zh-CN"/>
        </w:rPr>
        <w:t>新建材</w:t>
      </w:r>
      <w:r>
        <w:rPr>
          <w:rFonts w:hint="default" w:ascii="仿宋" w:hAnsi="仿宋" w:eastAsia="仿宋" w:cs="Times New Roman"/>
          <w:b/>
          <w:bCs/>
          <w:color w:val="auto"/>
          <w:sz w:val="44"/>
          <w:szCs w:val="44"/>
          <w:lang w:val="en-US" w:eastAsia="zh-CN"/>
        </w:rPr>
        <w:t>2x100万方粉煤灰蒸压加气混凝土砌块（含板材）生产线</w:t>
      </w:r>
      <w:r>
        <w:rPr>
          <w:rFonts w:hint="eastAsia" w:ascii="仿宋" w:hAnsi="仿宋" w:eastAsia="仿宋" w:cs="Times New Roman"/>
          <w:b/>
          <w:bCs/>
          <w:color w:val="auto"/>
          <w:sz w:val="44"/>
          <w:szCs w:val="44"/>
          <w:lang w:val="en-US" w:eastAsia="zh-CN"/>
        </w:rPr>
        <w:t>废砖处理设备投标报价单</w:t>
      </w:r>
    </w:p>
    <w:p w14:paraId="794BA0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8"/>
          <w:szCs w:val="28"/>
          <w:u w:val="none"/>
          <w:lang w:val="en-US" w:eastAsia="zh-CN" w:bidi="ar"/>
        </w:rPr>
      </w:pPr>
    </w:p>
    <w:p w14:paraId="7744FC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b/>
          <w:bCs/>
          <w:i w:val="0"/>
          <w:color w:val="000000"/>
          <w:kern w:val="0"/>
          <w:sz w:val="24"/>
          <w:szCs w:val="24"/>
          <w:u w:val="single"/>
          <w:lang w:val="en-US" w:eastAsia="zh-CN" w:bidi="ar"/>
        </w:rPr>
      </w:pPr>
      <w:r>
        <w:rPr>
          <w:rFonts w:hint="eastAsia" w:ascii="仿宋" w:hAnsi="仿宋" w:eastAsia="仿宋" w:cs="仿宋"/>
          <w:b/>
          <w:bCs/>
          <w:i w:val="0"/>
          <w:color w:val="000000"/>
          <w:kern w:val="0"/>
          <w:sz w:val="28"/>
          <w:szCs w:val="28"/>
          <w:u w:val="none"/>
          <w:lang w:val="en-US" w:eastAsia="zh-CN" w:bidi="ar"/>
        </w:rPr>
        <w:t>投标总报价</w:t>
      </w:r>
      <w:r>
        <w:rPr>
          <w:rFonts w:hint="eastAsia" w:ascii="仿宋" w:hAnsi="仿宋" w:eastAsia="仿宋" w:cs="仿宋"/>
          <w:b/>
          <w:bCs/>
          <w:i w:val="0"/>
          <w:color w:val="000000"/>
          <w:kern w:val="0"/>
          <w:sz w:val="28"/>
          <w:szCs w:val="28"/>
          <w:u w:val="single"/>
          <w:lang w:val="en-US" w:eastAsia="zh-CN" w:bidi="ar"/>
        </w:rPr>
        <w:t xml:space="preserve">：          </w:t>
      </w:r>
      <w:r>
        <w:rPr>
          <w:rFonts w:hint="eastAsia" w:ascii="仿宋" w:hAnsi="仿宋" w:eastAsia="仿宋" w:cs="仿宋"/>
          <w:b/>
          <w:bCs/>
          <w:i w:val="0"/>
          <w:color w:val="000000"/>
          <w:kern w:val="0"/>
          <w:sz w:val="28"/>
          <w:szCs w:val="28"/>
          <w:u w:val="none"/>
          <w:lang w:val="en-US" w:eastAsia="zh-CN" w:bidi="ar"/>
        </w:rPr>
        <w:t>万元</w:t>
      </w:r>
    </w:p>
    <w:tbl>
      <w:tblPr>
        <w:tblStyle w:val="52"/>
        <w:tblpPr w:leftFromText="180" w:rightFromText="180" w:vertAnchor="text" w:horzAnchor="page" w:tblpX="1249" w:tblpY="285"/>
        <w:tblOverlap w:val="never"/>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807"/>
        <w:gridCol w:w="1829"/>
        <w:gridCol w:w="850"/>
        <w:gridCol w:w="834"/>
        <w:gridCol w:w="1642"/>
        <w:gridCol w:w="853"/>
      </w:tblGrid>
      <w:tr w14:paraId="5CCA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trPr>
        <w:tc>
          <w:tcPr>
            <w:tcW w:w="768" w:type="dxa"/>
            <w:tcBorders>
              <w:bottom w:val="single" w:color="auto" w:sz="4" w:space="0"/>
            </w:tcBorders>
            <w:noWrap w:val="0"/>
            <w:vAlign w:val="center"/>
          </w:tcPr>
          <w:p w14:paraId="267B04F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2807" w:type="dxa"/>
            <w:tcBorders>
              <w:bottom w:val="single" w:color="auto" w:sz="4" w:space="0"/>
            </w:tcBorders>
            <w:noWrap w:val="0"/>
            <w:vAlign w:val="center"/>
          </w:tcPr>
          <w:p w14:paraId="54B515B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名称</w:t>
            </w:r>
          </w:p>
        </w:tc>
        <w:tc>
          <w:tcPr>
            <w:tcW w:w="1829" w:type="dxa"/>
            <w:tcBorders>
              <w:bottom w:val="single" w:color="auto" w:sz="4" w:space="0"/>
            </w:tcBorders>
            <w:noWrap w:val="0"/>
            <w:vAlign w:val="center"/>
          </w:tcPr>
          <w:p w14:paraId="7B53CFF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b/>
                <w:kern w:val="20"/>
                <w:sz w:val="24"/>
                <w:szCs w:val="24"/>
                <w:u w:val="single"/>
                <w:vertAlign w:val="baseline"/>
                <w:lang w:val="en-US" w:eastAsia="zh-CN"/>
              </w:rPr>
            </w:pPr>
            <w:r>
              <w:rPr>
                <w:rFonts w:hint="eastAsia" w:ascii="仿宋" w:hAnsi="仿宋" w:eastAsia="仿宋" w:cs="仿宋"/>
                <w:i w:val="0"/>
                <w:color w:val="000000"/>
                <w:kern w:val="0"/>
                <w:sz w:val="24"/>
                <w:szCs w:val="24"/>
                <w:u w:val="none"/>
                <w:lang w:val="en-US" w:eastAsia="zh-CN" w:bidi="ar"/>
              </w:rPr>
              <w:t>规格型号</w:t>
            </w:r>
          </w:p>
        </w:tc>
        <w:tc>
          <w:tcPr>
            <w:tcW w:w="850" w:type="dxa"/>
            <w:tcBorders>
              <w:bottom w:val="single" w:color="auto" w:sz="4" w:space="0"/>
            </w:tcBorders>
            <w:noWrap w:val="0"/>
            <w:vAlign w:val="center"/>
          </w:tcPr>
          <w:p w14:paraId="13E1A6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单位</w:t>
            </w:r>
          </w:p>
        </w:tc>
        <w:tc>
          <w:tcPr>
            <w:tcW w:w="834" w:type="dxa"/>
            <w:tcBorders>
              <w:bottom w:val="single" w:color="auto" w:sz="4" w:space="0"/>
            </w:tcBorders>
            <w:noWrap w:val="0"/>
            <w:vAlign w:val="center"/>
          </w:tcPr>
          <w:p w14:paraId="54B8DDA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数量</w:t>
            </w:r>
          </w:p>
        </w:tc>
        <w:tc>
          <w:tcPr>
            <w:tcW w:w="1642" w:type="dxa"/>
            <w:noWrap w:val="0"/>
            <w:vAlign w:val="center"/>
          </w:tcPr>
          <w:p w14:paraId="3B1943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金额（元）</w:t>
            </w:r>
          </w:p>
        </w:tc>
        <w:tc>
          <w:tcPr>
            <w:tcW w:w="853" w:type="dxa"/>
            <w:noWrap w:val="0"/>
            <w:vAlign w:val="center"/>
          </w:tcPr>
          <w:p w14:paraId="23127A5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备注</w:t>
            </w:r>
          </w:p>
        </w:tc>
      </w:tr>
      <w:tr w14:paraId="5102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3E42AFD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2807" w:type="dxa"/>
            <w:shd w:val="clear" w:color="auto" w:fill="auto"/>
            <w:noWrap w:val="0"/>
            <w:vAlign w:val="center"/>
          </w:tcPr>
          <w:p w14:paraId="1D57E8D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宋体" w:hAnsi="宋体" w:eastAsia="宋体" w:cs="宋体"/>
                <w:snapToGrid/>
                <w:color w:val="auto"/>
                <w:spacing w:val="0"/>
                <w:kern w:val="0"/>
                <w:sz w:val="21"/>
                <w:szCs w:val="21"/>
                <w:highlight w:val="none"/>
                <w:vertAlign w:val="baseline"/>
                <w:lang w:val="en-US" w:eastAsia="zh-CN" w:bidi="ar-SA"/>
              </w:rPr>
            </w:pPr>
            <w:r>
              <w:rPr>
                <w:rFonts w:hint="eastAsia"/>
                <w:sz w:val="21"/>
                <w:szCs w:val="21"/>
                <w:highlight w:val="none"/>
                <w:lang w:eastAsia="zh-CN"/>
              </w:rPr>
              <w:t>撕碎机（</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电控柜、操作箱及电缆</w:t>
            </w:r>
            <w:r>
              <w:rPr>
                <w:rFonts w:hint="eastAsia"/>
                <w:sz w:val="21"/>
                <w:szCs w:val="21"/>
                <w:highlight w:val="none"/>
                <w:lang w:eastAsia="zh-CN"/>
              </w:rPr>
              <w:t>）</w:t>
            </w:r>
          </w:p>
        </w:tc>
        <w:tc>
          <w:tcPr>
            <w:tcW w:w="1829" w:type="dxa"/>
            <w:noWrap w:val="0"/>
            <w:vAlign w:val="center"/>
          </w:tcPr>
          <w:p w14:paraId="3B505D5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p>
        </w:tc>
        <w:tc>
          <w:tcPr>
            <w:tcW w:w="850" w:type="dxa"/>
            <w:noWrap w:val="0"/>
            <w:vAlign w:val="center"/>
          </w:tcPr>
          <w:p w14:paraId="3FD231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2E4A90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19B975F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3986349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7E8D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6EB60D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807" w:type="dxa"/>
            <w:shd w:val="clear" w:color="auto" w:fill="auto"/>
            <w:noWrap w:val="0"/>
            <w:vAlign w:val="center"/>
          </w:tcPr>
          <w:p w14:paraId="22E42A7B">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宋体" w:hAnsi="宋体" w:cs="宋体"/>
                <w:snapToGrid/>
                <w:color w:val="auto"/>
                <w:spacing w:val="0"/>
                <w:kern w:val="0"/>
                <w:sz w:val="21"/>
                <w:szCs w:val="21"/>
                <w:highlight w:val="none"/>
                <w:vertAlign w:val="baseline"/>
                <w:lang w:val="en-US" w:eastAsia="zh-CN" w:bidi="ar-SA"/>
              </w:rPr>
              <w:t>NE30斗式提升机</w:t>
            </w:r>
            <w:r>
              <w:rPr>
                <w:rFonts w:hint="eastAsia"/>
                <w:sz w:val="21"/>
                <w:szCs w:val="21"/>
                <w:highlight w:val="none"/>
                <w:lang w:eastAsia="zh-CN"/>
              </w:rPr>
              <w:t>（</w:t>
            </w:r>
            <w:r>
              <w:rPr>
                <w:rFonts w:hint="eastAsia"/>
                <w:sz w:val="21"/>
                <w:szCs w:val="21"/>
                <w:highlight w:val="none"/>
                <w:lang w:val="en-US" w:eastAsia="zh-CN"/>
              </w:rPr>
              <w:t>含</w:t>
            </w:r>
            <w:r>
              <w:rPr>
                <w:rFonts w:hint="eastAsia" w:ascii="宋体" w:hAnsi="宋体" w:cs="宋体"/>
                <w:snapToGrid/>
                <w:color w:val="auto"/>
                <w:spacing w:val="0"/>
                <w:kern w:val="0"/>
                <w:sz w:val="21"/>
                <w:szCs w:val="21"/>
                <w:highlight w:val="none"/>
                <w:vertAlign w:val="baseline"/>
                <w:lang w:val="en-US" w:eastAsia="zh-CN"/>
              </w:rPr>
              <w:t>电控柜、操作箱、电缆</w:t>
            </w:r>
            <w:r>
              <w:rPr>
                <w:rFonts w:hint="eastAsia"/>
                <w:sz w:val="21"/>
                <w:szCs w:val="21"/>
                <w:highlight w:val="none"/>
                <w:lang w:eastAsia="zh-CN"/>
              </w:rPr>
              <w:t>）</w:t>
            </w:r>
          </w:p>
        </w:tc>
        <w:tc>
          <w:tcPr>
            <w:tcW w:w="1829" w:type="dxa"/>
            <w:noWrap w:val="0"/>
            <w:vAlign w:val="center"/>
          </w:tcPr>
          <w:p w14:paraId="5E887B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07AC1FD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28933D3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185A34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5B6045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6297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09CD44B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807" w:type="dxa"/>
            <w:shd w:val="clear" w:color="auto" w:fill="auto"/>
            <w:noWrap w:val="0"/>
            <w:vAlign w:val="center"/>
          </w:tcPr>
          <w:p w14:paraId="6F11E13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宋体" w:hAnsi="宋体" w:cs="宋体"/>
                <w:snapToGrid/>
                <w:color w:val="auto"/>
                <w:spacing w:val="0"/>
                <w:kern w:val="0"/>
                <w:sz w:val="21"/>
                <w:szCs w:val="21"/>
                <w:highlight w:val="none"/>
                <w:vertAlign w:val="baseline"/>
                <w:lang w:val="en-US" w:eastAsia="zh-CN" w:bidi="ar-SA"/>
              </w:rPr>
              <w:t>过渡仓及支腿</w:t>
            </w:r>
          </w:p>
        </w:tc>
        <w:tc>
          <w:tcPr>
            <w:tcW w:w="1829" w:type="dxa"/>
            <w:noWrap w:val="0"/>
            <w:vAlign w:val="center"/>
          </w:tcPr>
          <w:p w14:paraId="783396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4437FA6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0176DC5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0174DE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13F4081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4D60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19E8F8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807" w:type="dxa"/>
            <w:shd w:val="clear" w:color="auto" w:fill="auto"/>
            <w:noWrap w:val="0"/>
            <w:vAlign w:val="center"/>
          </w:tcPr>
          <w:p w14:paraId="1C94A8B0">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宋体" w:hAnsi="宋体" w:cs="宋体"/>
                <w:snapToGrid/>
                <w:color w:val="auto"/>
                <w:spacing w:val="0"/>
                <w:kern w:val="0"/>
                <w:sz w:val="21"/>
                <w:szCs w:val="21"/>
                <w:highlight w:val="none"/>
                <w:vertAlign w:val="baseline"/>
                <w:lang w:val="en-US" w:eastAsia="zh-CN" w:bidi="ar-SA"/>
              </w:rPr>
              <w:t>除铁器</w:t>
            </w:r>
          </w:p>
        </w:tc>
        <w:tc>
          <w:tcPr>
            <w:tcW w:w="1829" w:type="dxa"/>
            <w:noWrap w:val="0"/>
            <w:vAlign w:val="center"/>
          </w:tcPr>
          <w:p w14:paraId="4E5EE2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4D71AB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17BF96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7C3BEC3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65DE53E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5238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384D4F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807" w:type="dxa"/>
            <w:shd w:val="clear" w:color="auto" w:fill="auto"/>
            <w:noWrap w:val="0"/>
            <w:vAlign w:val="center"/>
          </w:tcPr>
          <w:p w14:paraId="75647F9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Times New Roman" w:hAnsi="Times New Roman" w:eastAsia="宋体" w:cs="Times New Roman"/>
                <w:sz w:val="21"/>
                <w:szCs w:val="21"/>
                <w:highlight w:val="none"/>
                <w:lang w:val="en-US" w:eastAsia="zh-CN"/>
              </w:rPr>
            </w:pPr>
            <w:r>
              <w:rPr>
                <w:rFonts w:hint="eastAsia" w:ascii="宋体" w:hAnsi="宋体" w:cs="宋体"/>
                <w:snapToGrid/>
                <w:color w:val="auto"/>
                <w:spacing w:val="0"/>
                <w:kern w:val="0"/>
                <w:sz w:val="21"/>
                <w:szCs w:val="21"/>
                <w:highlight w:val="none"/>
                <w:vertAlign w:val="baseline"/>
                <w:lang w:val="en-US" w:eastAsia="zh-CN"/>
              </w:rPr>
              <w:t>雷蒙磨</w:t>
            </w:r>
            <w:r>
              <w:rPr>
                <w:rFonts w:hint="eastAsia"/>
                <w:sz w:val="21"/>
                <w:szCs w:val="21"/>
                <w:highlight w:val="none"/>
                <w:lang w:eastAsia="zh-CN"/>
              </w:rPr>
              <w:t>（</w:t>
            </w:r>
            <w:r>
              <w:rPr>
                <w:rFonts w:hint="eastAsia"/>
                <w:sz w:val="21"/>
                <w:szCs w:val="21"/>
                <w:highlight w:val="none"/>
                <w:lang w:val="en-US" w:eastAsia="zh-CN"/>
              </w:rPr>
              <w:t>含风机、旋风筒、管道系统、</w:t>
            </w:r>
            <w:r>
              <w:rPr>
                <w:rFonts w:hint="eastAsia" w:ascii="宋体" w:hAnsi="宋体" w:cs="宋体"/>
                <w:snapToGrid/>
                <w:color w:val="auto"/>
                <w:spacing w:val="0"/>
                <w:kern w:val="0"/>
                <w:sz w:val="21"/>
                <w:szCs w:val="21"/>
                <w:highlight w:val="none"/>
                <w:vertAlign w:val="baseline"/>
                <w:lang w:val="en-US" w:eastAsia="zh-CN"/>
              </w:rPr>
              <w:t>电控柜、操作箱及电缆</w:t>
            </w:r>
            <w:r>
              <w:rPr>
                <w:rFonts w:hint="eastAsia"/>
                <w:sz w:val="21"/>
                <w:szCs w:val="21"/>
                <w:highlight w:val="none"/>
                <w:lang w:eastAsia="zh-CN"/>
              </w:rPr>
              <w:t>）</w:t>
            </w:r>
          </w:p>
        </w:tc>
        <w:tc>
          <w:tcPr>
            <w:tcW w:w="1829" w:type="dxa"/>
            <w:noWrap w:val="0"/>
            <w:vAlign w:val="center"/>
          </w:tcPr>
          <w:p w14:paraId="1FE1E1D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3E37D0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6AE7092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7594F66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664CEF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E16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0FA2EF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807" w:type="dxa"/>
            <w:noWrap w:val="0"/>
            <w:vAlign w:val="center"/>
          </w:tcPr>
          <w:p w14:paraId="1BDDDA0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储料仓及</w:t>
            </w:r>
            <w:r>
              <w:rPr>
                <w:rFonts w:hint="eastAsia" w:ascii="宋体" w:hAnsi="宋体" w:cs="宋体"/>
                <w:snapToGrid/>
                <w:color w:val="auto"/>
                <w:spacing w:val="0"/>
                <w:kern w:val="0"/>
                <w:sz w:val="21"/>
                <w:szCs w:val="21"/>
                <w:highlight w:val="none"/>
                <w:vertAlign w:val="baseline"/>
                <w:lang w:val="en-US" w:eastAsia="zh-CN"/>
              </w:rPr>
              <w:t>支腿</w:t>
            </w:r>
          </w:p>
        </w:tc>
        <w:tc>
          <w:tcPr>
            <w:tcW w:w="1829" w:type="dxa"/>
            <w:noWrap w:val="0"/>
            <w:vAlign w:val="center"/>
          </w:tcPr>
          <w:p w14:paraId="4EB11E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47E153B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1D678AD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095279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51FCAF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2394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2F8C1CC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807" w:type="dxa"/>
            <w:noWrap w:val="0"/>
            <w:vAlign w:val="center"/>
          </w:tcPr>
          <w:p w14:paraId="0BEAF73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搅拌装置（含电机、操作箱、电缆）</w:t>
            </w:r>
          </w:p>
        </w:tc>
        <w:tc>
          <w:tcPr>
            <w:tcW w:w="1829" w:type="dxa"/>
            <w:noWrap w:val="0"/>
            <w:vAlign w:val="center"/>
          </w:tcPr>
          <w:p w14:paraId="03B54E9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0D0860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61E6D0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0CD5F4B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6517DE7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077F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29DCC40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807" w:type="dxa"/>
            <w:noWrap w:val="0"/>
            <w:vAlign w:val="center"/>
          </w:tcPr>
          <w:p w14:paraId="391CE1B7">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爬梯、平台、栏杆、地坑盖板</w:t>
            </w:r>
            <w:r>
              <w:rPr>
                <w:rFonts w:hint="eastAsia" w:ascii="宋体" w:hAnsi="宋体" w:cs="宋体"/>
                <w:snapToGrid/>
                <w:color w:val="auto"/>
                <w:spacing w:val="0"/>
                <w:kern w:val="0"/>
                <w:sz w:val="21"/>
                <w:szCs w:val="21"/>
                <w:highlight w:val="none"/>
                <w:vertAlign w:val="baseline"/>
                <w:lang w:val="en-US" w:eastAsia="zh-CN"/>
              </w:rPr>
              <w:t>、电缆、桥架</w:t>
            </w:r>
            <w:r>
              <w:rPr>
                <w:rFonts w:hint="eastAsia" w:ascii="宋体" w:hAnsi="宋体" w:eastAsia="宋体" w:cs="宋体"/>
                <w:snapToGrid/>
                <w:color w:val="auto"/>
                <w:spacing w:val="0"/>
                <w:kern w:val="0"/>
                <w:sz w:val="21"/>
                <w:szCs w:val="21"/>
                <w:highlight w:val="none"/>
                <w:vertAlign w:val="baseline"/>
                <w:lang w:val="en-US" w:eastAsia="zh-CN"/>
              </w:rPr>
              <w:t>等附件</w:t>
            </w:r>
          </w:p>
        </w:tc>
        <w:tc>
          <w:tcPr>
            <w:tcW w:w="1829" w:type="dxa"/>
            <w:noWrap w:val="0"/>
            <w:vAlign w:val="center"/>
          </w:tcPr>
          <w:p w14:paraId="2A9DB4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703BB1E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4937F3B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61356AD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52A979F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7637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5A01643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807" w:type="dxa"/>
            <w:noWrap w:val="0"/>
            <w:vAlign w:val="center"/>
          </w:tcPr>
          <w:p w14:paraId="4F0D41B3">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上述1-8项所有安装附件</w:t>
            </w:r>
          </w:p>
        </w:tc>
        <w:tc>
          <w:tcPr>
            <w:tcW w:w="1829" w:type="dxa"/>
            <w:noWrap w:val="0"/>
            <w:vAlign w:val="center"/>
          </w:tcPr>
          <w:p w14:paraId="7F73240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6B6172D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56DE3D0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15955EB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0B66964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1C41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7AE85F1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807" w:type="dxa"/>
            <w:noWrap w:val="0"/>
            <w:vAlign w:val="center"/>
          </w:tcPr>
          <w:p w14:paraId="0A94AE48">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eastAsia" w:ascii="宋体" w:hAnsi="宋体" w:eastAsia="宋体" w:cs="宋体"/>
                <w:snapToGrid/>
                <w:color w:val="auto"/>
                <w:spacing w:val="0"/>
                <w:kern w:val="0"/>
                <w:sz w:val="21"/>
                <w:szCs w:val="21"/>
                <w:highlight w:val="none"/>
                <w:vertAlign w:val="baseline"/>
                <w:lang w:val="en-US" w:eastAsia="zh-CN"/>
              </w:rPr>
            </w:pPr>
            <w:r>
              <w:rPr>
                <w:rFonts w:hint="eastAsia" w:ascii="宋体" w:hAnsi="宋体" w:eastAsia="宋体" w:cs="宋体"/>
                <w:snapToGrid/>
                <w:color w:val="auto"/>
                <w:spacing w:val="0"/>
                <w:kern w:val="0"/>
                <w:sz w:val="21"/>
                <w:szCs w:val="21"/>
                <w:highlight w:val="none"/>
                <w:vertAlign w:val="baseline"/>
                <w:lang w:val="en-US" w:eastAsia="zh-CN"/>
              </w:rPr>
              <w:t>其它为满足本技术文件要求功能必须的组件</w:t>
            </w:r>
          </w:p>
        </w:tc>
        <w:tc>
          <w:tcPr>
            <w:tcW w:w="1829" w:type="dxa"/>
            <w:noWrap w:val="0"/>
            <w:vAlign w:val="center"/>
          </w:tcPr>
          <w:p w14:paraId="00104F1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260CA6C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096A29D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5E1238A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338EADE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0B12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768" w:type="dxa"/>
            <w:noWrap w:val="0"/>
            <w:vAlign w:val="center"/>
          </w:tcPr>
          <w:p w14:paraId="5ECA12A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807" w:type="dxa"/>
            <w:noWrap w:val="0"/>
            <w:vAlign w:val="center"/>
          </w:tcPr>
          <w:p w14:paraId="2C433D4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安装、调试费用</w:t>
            </w:r>
          </w:p>
        </w:tc>
        <w:tc>
          <w:tcPr>
            <w:tcW w:w="1829" w:type="dxa"/>
            <w:noWrap w:val="0"/>
            <w:vAlign w:val="center"/>
          </w:tcPr>
          <w:p w14:paraId="7A824D2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0" w:type="dxa"/>
            <w:noWrap w:val="0"/>
            <w:vAlign w:val="center"/>
          </w:tcPr>
          <w:p w14:paraId="32654C9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834" w:type="dxa"/>
            <w:noWrap w:val="0"/>
            <w:vAlign w:val="center"/>
          </w:tcPr>
          <w:p w14:paraId="3E3C5CE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1642" w:type="dxa"/>
            <w:noWrap w:val="0"/>
            <w:vAlign w:val="center"/>
          </w:tcPr>
          <w:p w14:paraId="17FCB53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c>
          <w:tcPr>
            <w:tcW w:w="853" w:type="dxa"/>
            <w:noWrap w:val="0"/>
            <w:vAlign w:val="center"/>
          </w:tcPr>
          <w:p w14:paraId="7404B28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仿宋" w:hAnsi="仿宋" w:eastAsia="仿宋" w:cs="仿宋"/>
                <w:i w:val="0"/>
                <w:color w:val="000000"/>
                <w:kern w:val="0"/>
                <w:sz w:val="24"/>
                <w:szCs w:val="24"/>
                <w:u w:val="none"/>
                <w:lang w:val="en-US" w:eastAsia="zh-CN" w:bidi="ar"/>
              </w:rPr>
            </w:pPr>
          </w:p>
        </w:tc>
      </w:tr>
      <w:tr w14:paraId="6B5E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3575" w:type="dxa"/>
            <w:gridSpan w:val="2"/>
            <w:noWrap w:val="0"/>
            <w:vAlign w:val="center"/>
          </w:tcPr>
          <w:p w14:paraId="34A7144A">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right="0" w:rightChars="0" w:firstLine="1470" w:firstLineChars="700"/>
              <w:jc w:val="left"/>
              <w:textAlignment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总价</w:t>
            </w:r>
          </w:p>
        </w:tc>
        <w:tc>
          <w:tcPr>
            <w:tcW w:w="6008" w:type="dxa"/>
            <w:gridSpan w:val="5"/>
            <w:noWrap w:val="0"/>
            <w:vAlign w:val="center"/>
          </w:tcPr>
          <w:p w14:paraId="0A50E02F">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 xml:space="preserve">大写：                        </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w:t>
            </w:r>
          </w:p>
        </w:tc>
      </w:tr>
    </w:tbl>
    <w:p w14:paraId="58C9893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交货期：合同签订生效后</w:t>
      </w:r>
      <w:r>
        <w:rPr>
          <w:rFonts w:hint="eastAsia" w:ascii="仿宋" w:hAnsi="仿宋" w:eastAsia="仿宋" w:cs="Times New Roman"/>
          <w:b w:val="0"/>
          <w:bCs w:val="0"/>
          <w:color w:val="auto"/>
          <w:sz w:val="30"/>
          <w:szCs w:val="30"/>
          <w:u w:val="single"/>
          <w:lang w:val="en-US" w:eastAsia="zh-CN"/>
        </w:rPr>
        <w:t xml:space="preserve">     </w:t>
      </w:r>
      <w:r>
        <w:rPr>
          <w:rFonts w:hint="eastAsia" w:ascii="仿宋" w:hAnsi="仿宋" w:eastAsia="仿宋" w:cs="Times New Roman"/>
          <w:b w:val="0"/>
          <w:bCs w:val="0"/>
          <w:color w:val="auto"/>
          <w:sz w:val="30"/>
          <w:szCs w:val="30"/>
          <w:lang w:eastAsia="zh-CN"/>
        </w:rPr>
        <w:t>天交货完毕并完成安装调试。</w:t>
      </w:r>
    </w:p>
    <w:p w14:paraId="7F7A3D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eastAsia="zh-CN"/>
        </w:rPr>
        <w:t>2、报价要求为总包价（交钥匙工程），一票制，税率为</w:t>
      </w:r>
      <w:r>
        <w:rPr>
          <w:rFonts w:hint="eastAsia" w:ascii="仿宋" w:hAnsi="仿宋" w:eastAsia="仿宋" w:cs="Times New Roman"/>
          <w:b w:val="0"/>
          <w:bCs w:val="0"/>
          <w:color w:val="auto"/>
          <w:sz w:val="30"/>
          <w:szCs w:val="30"/>
          <w:lang w:val="en-US" w:eastAsia="zh-CN"/>
        </w:rPr>
        <w:t>13%的增值税,</w:t>
      </w:r>
      <w:r>
        <w:rPr>
          <w:rFonts w:hint="eastAsia" w:ascii="仿宋" w:hAnsi="仿宋" w:eastAsia="仿宋" w:cs="Times New Roman"/>
          <w:b w:val="0"/>
          <w:bCs w:val="0"/>
          <w:color w:val="auto"/>
          <w:sz w:val="30"/>
          <w:szCs w:val="30"/>
          <w:lang w:eastAsia="zh-CN"/>
        </w:rPr>
        <w:t>报</w:t>
      </w:r>
      <w:r>
        <w:rPr>
          <w:rFonts w:hint="eastAsia" w:ascii="仿宋" w:hAnsi="仿宋" w:eastAsia="仿宋" w:cs="Times New Roman"/>
          <w:b w:val="0"/>
          <w:bCs w:val="0"/>
          <w:color w:val="auto"/>
          <w:sz w:val="30"/>
          <w:szCs w:val="30"/>
          <w:lang w:val="en-US" w:eastAsia="zh-CN"/>
        </w:rPr>
        <w:t>价应含项目所包含的所有费用，即</w:t>
      </w:r>
      <w:r>
        <w:rPr>
          <w:rFonts w:hint="eastAsia" w:ascii="仿宋" w:hAnsi="仿宋" w:eastAsia="仿宋" w:cs="Times New Roman"/>
          <w:b w:val="0"/>
          <w:bCs w:val="0"/>
          <w:color w:val="auto"/>
          <w:sz w:val="30"/>
          <w:szCs w:val="30"/>
          <w:lang w:eastAsia="zh-CN"/>
        </w:rPr>
        <w:t>设备费</w:t>
      </w:r>
      <w:r>
        <w:rPr>
          <w:rFonts w:hint="eastAsia" w:ascii="仿宋" w:hAnsi="仿宋" w:eastAsia="仿宋" w:cs="Times New Roman"/>
          <w:b w:val="0"/>
          <w:bCs w:val="0"/>
          <w:color w:val="auto"/>
          <w:sz w:val="30"/>
          <w:szCs w:val="30"/>
          <w:lang w:val="en-US" w:eastAsia="zh-CN"/>
        </w:rPr>
        <w:t>(含安装辅材)</w:t>
      </w:r>
      <w:r>
        <w:rPr>
          <w:rFonts w:hint="eastAsia" w:ascii="仿宋" w:hAnsi="仿宋" w:eastAsia="仿宋" w:cs="Times New Roman"/>
          <w:b w:val="0"/>
          <w:bCs w:val="0"/>
          <w:color w:val="auto"/>
          <w:sz w:val="30"/>
          <w:szCs w:val="30"/>
          <w:lang w:eastAsia="zh-CN"/>
        </w:rPr>
        <w:t>、设备运杂费</w:t>
      </w:r>
      <w:r>
        <w:rPr>
          <w:rFonts w:hint="eastAsia" w:ascii="仿宋" w:hAnsi="仿宋" w:eastAsia="仿宋" w:cs="Times New Roman"/>
          <w:b w:val="0"/>
          <w:bCs w:val="0"/>
          <w:color w:val="auto"/>
          <w:sz w:val="30"/>
          <w:szCs w:val="30"/>
          <w:lang w:val="en-US" w:eastAsia="zh-CN"/>
        </w:rPr>
        <w:t>(含装车费、卸车费、到货后的保管费)</w:t>
      </w:r>
      <w:r>
        <w:rPr>
          <w:rFonts w:hint="eastAsia" w:ascii="仿宋" w:hAnsi="仿宋" w:eastAsia="仿宋" w:cs="Times New Roman"/>
          <w:b w:val="0"/>
          <w:bCs w:val="0"/>
          <w:color w:val="auto"/>
          <w:sz w:val="30"/>
          <w:szCs w:val="30"/>
          <w:lang w:eastAsia="zh-CN"/>
        </w:rPr>
        <w:t xml:space="preserve">、安装费、调试费、售后技术服务等一切费用。    </w:t>
      </w:r>
    </w:p>
    <w:p w14:paraId="2C2EC135">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3、</w:t>
      </w:r>
      <w:r>
        <w:rPr>
          <w:rFonts w:hint="eastAsia" w:ascii="仿宋" w:hAnsi="仿宋" w:eastAsia="仿宋" w:cs="Times New Roman"/>
          <w:b w:val="0"/>
          <w:bCs w:val="0"/>
          <w:color w:val="auto"/>
          <w:sz w:val="30"/>
          <w:szCs w:val="30"/>
          <w:lang w:eastAsia="zh-CN"/>
        </w:rPr>
        <w:t>在执行合同过程中如发现有任何漏项和缺陷，在投标方的报价栏目中或合同中并未列入而且确实是本次项目所必须的，是国家强制性要求必须的，均应由乙方负责将所缺的货物补上，所发生的费用由乙方负担。</w:t>
      </w:r>
    </w:p>
    <w:p w14:paraId="409903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Times New Roman"/>
          <w:b w:val="0"/>
          <w:bCs w:val="0"/>
          <w:color w:val="auto"/>
          <w:sz w:val="30"/>
          <w:szCs w:val="30"/>
          <w:lang w:eastAsia="zh-CN"/>
        </w:rPr>
      </w:pPr>
      <w:r>
        <w:rPr>
          <w:rFonts w:hint="eastAsia" w:ascii="仿宋" w:hAnsi="仿宋" w:eastAsia="仿宋" w:cs="Times New Roman"/>
          <w:b w:val="0"/>
          <w:bCs w:val="0"/>
          <w:color w:val="auto"/>
          <w:sz w:val="30"/>
          <w:szCs w:val="30"/>
          <w:lang w:val="en-US" w:eastAsia="zh-CN"/>
        </w:rPr>
        <w:t>4</w:t>
      </w:r>
      <w:r>
        <w:rPr>
          <w:rFonts w:hint="eastAsia" w:ascii="仿宋" w:hAnsi="仿宋" w:eastAsia="仿宋" w:cs="Times New Roman"/>
          <w:b w:val="0"/>
          <w:bCs w:val="0"/>
          <w:color w:val="auto"/>
          <w:sz w:val="30"/>
          <w:szCs w:val="30"/>
          <w:lang w:eastAsia="zh-CN"/>
        </w:rPr>
        <w:t>、付款方式</w:t>
      </w:r>
      <w:r>
        <w:rPr>
          <w:rFonts w:hint="eastAsia" w:ascii="仿宋" w:hAnsi="仿宋" w:eastAsia="仿宋" w:cs="Times New Roman"/>
          <w:b w:val="0"/>
          <w:bCs w:val="0"/>
          <w:color w:val="auto"/>
          <w:sz w:val="30"/>
          <w:szCs w:val="30"/>
          <w:lang w:val="en-US" w:eastAsia="zh-CN"/>
        </w:rPr>
        <w:t>(银行承兑)</w:t>
      </w:r>
      <w:r>
        <w:rPr>
          <w:rFonts w:hint="eastAsia" w:ascii="仿宋" w:hAnsi="仿宋" w:eastAsia="仿宋" w:cs="Times New Roman"/>
          <w:b w:val="0"/>
          <w:bCs w:val="0"/>
          <w:color w:val="auto"/>
          <w:sz w:val="30"/>
          <w:szCs w:val="30"/>
          <w:lang w:eastAsia="zh-CN"/>
        </w:rPr>
        <w:t>：</w:t>
      </w:r>
      <w:r>
        <w:rPr>
          <w:rFonts w:hint="eastAsia" w:ascii="仿宋" w:hAnsi="仿宋" w:eastAsia="仿宋" w:cs="Times New Roman"/>
          <w:b w:val="0"/>
          <w:bCs w:val="0"/>
          <w:color w:val="auto"/>
          <w:sz w:val="28"/>
          <w:szCs w:val="28"/>
          <w:lang w:val="en-US" w:eastAsia="zh-CN"/>
        </w:rPr>
        <w:t>使用</w:t>
      </w:r>
      <w:r>
        <w:rPr>
          <w:rFonts w:hint="eastAsia" w:ascii="仿宋" w:hAnsi="仿宋" w:eastAsia="仿宋" w:cs="Times New Roman"/>
          <w:b w:val="0"/>
          <w:bCs w:val="0"/>
          <w:color w:val="auto"/>
          <w:sz w:val="28"/>
          <w:szCs w:val="28"/>
          <w:lang w:eastAsia="zh-CN"/>
        </w:rPr>
        <w:t>验收合格，开具发票验收入账后90个工作日内付款90%，留10%质保金</w:t>
      </w:r>
      <w:r>
        <w:rPr>
          <w:rFonts w:hint="eastAsia" w:ascii="仿宋" w:hAnsi="仿宋" w:eastAsia="仿宋" w:cs="Times New Roman"/>
          <w:b w:val="0"/>
          <w:bCs w:val="0"/>
          <w:color w:val="auto"/>
          <w:sz w:val="30"/>
          <w:szCs w:val="30"/>
          <w:lang w:val="en-US" w:eastAsia="zh-CN"/>
        </w:rPr>
        <w:t>。质保期满没有任何质量问题时付清。</w:t>
      </w:r>
      <w:r>
        <w:rPr>
          <w:rFonts w:hint="eastAsia" w:ascii="仿宋" w:hAnsi="仿宋" w:eastAsia="仿宋" w:cs="Times New Roman"/>
          <w:b w:val="0"/>
          <w:bCs w:val="0"/>
          <w:color w:val="auto"/>
          <w:sz w:val="30"/>
          <w:szCs w:val="30"/>
          <w:lang w:eastAsia="zh-CN"/>
        </w:rPr>
        <w:t>质保期自调试验收合格之日起12个月，质保期内出现任何非</w:t>
      </w:r>
      <w:r>
        <w:rPr>
          <w:rFonts w:hint="eastAsia" w:ascii="仿宋" w:hAnsi="仿宋" w:eastAsia="仿宋" w:cs="Times New Roman"/>
          <w:b w:val="0"/>
          <w:bCs w:val="0"/>
          <w:color w:val="auto"/>
          <w:sz w:val="30"/>
          <w:szCs w:val="30"/>
          <w:lang w:val="en-US" w:eastAsia="zh-CN"/>
        </w:rPr>
        <w:t>业主</w:t>
      </w:r>
      <w:r>
        <w:rPr>
          <w:rFonts w:hint="eastAsia" w:ascii="仿宋" w:hAnsi="仿宋" w:eastAsia="仿宋" w:cs="Times New Roman"/>
          <w:b w:val="0"/>
          <w:bCs w:val="0"/>
          <w:color w:val="auto"/>
          <w:sz w:val="30"/>
          <w:szCs w:val="30"/>
          <w:lang w:eastAsia="zh-CN"/>
        </w:rPr>
        <w:t>方原因造成的质量问题，均由</w:t>
      </w:r>
      <w:r>
        <w:rPr>
          <w:rFonts w:hint="eastAsia" w:ascii="仿宋" w:hAnsi="仿宋" w:eastAsia="仿宋" w:cs="Times New Roman"/>
          <w:b w:val="0"/>
          <w:bCs w:val="0"/>
          <w:color w:val="auto"/>
          <w:sz w:val="30"/>
          <w:szCs w:val="30"/>
          <w:lang w:val="en-US" w:eastAsia="zh-CN"/>
        </w:rPr>
        <w:t>中标方</w:t>
      </w:r>
      <w:r>
        <w:rPr>
          <w:rFonts w:hint="eastAsia" w:ascii="仿宋" w:hAnsi="仿宋" w:eastAsia="仿宋" w:cs="Times New Roman"/>
          <w:b w:val="0"/>
          <w:bCs w:val="0"/>
          <w:color w:val="auto"/>
          <w:sz w:val="30"/>
          <w:szCs w:val="30"/>
          <w:lang w:eastAsia="zh-CN"/>
        </w:rPr>
        <w:t>免费修复或处理并达到双方签订的技术协议的标准。</w:t>
      </w:r>
    </w:p>
    <w:p w14:paraId="4E09F5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14:paraId="4C17B067">
      <w:pPr>
        <w:keepNext w:val="0"/>
        <w:keepLines w:val="0"/>
        <w:pageBreakBefore w:val="0"/>
        <w:widowControl w:val="0"/>
        <w:kinsoku/>
        <w:wordWrap/>
        <w:overflowPunct/>
        <w:topLinePunct w:val="0"/>
        <w:autoSpaceDE/>
        <w:autoSpaceDN/>
        <w:bidi w:val="0"/>
        <w:adjustRightInd/>
        <w:snapToGrid/>
        <w:spacing w:line="500" w:lineRule="exact"/>
        <w:ind w:right="0" w:rightChars="0" w:firstLine="5100" w:firstLineChars="17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报价单位（盖章）：              </w:t>
      </w:r>
    </w:p>
    <w:p w14:paraId="4F522FA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b w:val="0"/>
          <w:bCs w:val="0"/>
          <w:color w:val="auto"/>
          <w:sz w:val="30"/>
          <w:szCs w:val="30"/>
        </w:rPr>
      </w:pPr>
      <w:r>
        <w:rPr>
          <w:rFonts w:hint="eastAsia" w:ascii="仿宋" w:hAnsi="仿宋" w:eastAsia="仿宋"/>
          <w:b w:val="0"/>
          <w:bCs w:val="0"/>
          <w:color w:val="auto"/>
          <w:sz w:val="30"/>
          <w:szCs w:val="30"/>
        </w:rPr>
        <w:t xml:space="preserve">                              报价人：（签字）：             </w:t>
      </w:r>
    </w:p>
    <w:p w14:paraId="3961BCF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jc w:val="left"/>
        <w:textAlignment w:val="auto"/>
        <w:outlineLvl w:val="9"/>
        <w:rPr>
          <w:rFonts w:hint="eastAsia" w:ascii="仿宋" w:hAnsi="仿宋" w:eastAsia="仿宋"/>
          <w:sz w:val="28"/>
          <w:szCs w:val="24"/>
        </w:rPr>
        <w:sectPr>
          <w:footerReference r:id="rId3" w:type="first"/>
          <w:pgSz w:w="11905" w:h="16838"/>
          <w:pgMar w:top="1276" w:right="1587" w:bottom="1304" w:left="1587" w:header="567" w:footer="850" w:gutter="0"/>
          <w:pgNumType w:start="1"/>
          <w:cols w:space="0" w:num="1"/>
          <w:docGrid w:linePitch="326" w:charSpace="0"/>
        </w:sectPr>
      </w:pPr>
      <w:r>
        <w:rPr>
          <w:rFonts w:hint="eastAsia" w:ascii="仿宋" w:hAnsi="仿宋" w:eastAsia="仿宋"/>
          <w:b w:val="0"/>
          <w:bCs w:val="0"/>
          <w:color w:val="auto"/>
          <w:sz w:val="30"/>
          <w:szCs w:val="30"/>
        </w:rPr>
        <w:t xml:space="preserve">                         报价时间：</w:t>
      </w:r>
      <w:r>
        <w:rPr>
          <w:rFonts w:hint="eastAsia" w:ascii="仿宋" w:hAnsi="仿宋" w:eastAsia="仿宋"/>
          <w:b w:val="0"/>
          <w:bCs w:val="0"/>
          <w:color w:val="auto"/>
          <w:sz w:val="30"/>
          <w:szCs w:val="30"/>
          <w:lang w:val="en-US" w:eastAsia="zh-CN"/>
        </w:rPr>
        <w:t>2026</w:t>
      </w:r>
      <w:r>
        <w:rPr>
          <w:rFonts w:hint="eastAsia" w:ascii="仿宋" w:hAnsi="仿宋" w:eastAsia="仿宋"/>
          <w:b w:val="0"/>
          <w:bCs w:val="0"/>
          <w:color w:val="auto"/>
          <w:sz w:val="30"/>
          <w:szCs w:val="30"/>
        </w:rPr>
        <w:t>年</w:t>
      </w:r>
      <w:r>
        <w:rPr>
          <w:rFonts w:hint="eastAsia" w:ascii="仿宋" w:hAnsi="仿宋" w:eastAsia="仿宋"/>
          <w:b w:val="0"/>
          <w:bCs w:val="0"/>
          <w:color w:val="auto"/>
          <w:sz w:val="30"/>
          <w:szCs w:val="30"/>
          <w:lang w:val="en-US" w:eastAsia="zh-CN"/>
        </w:rPr>
        <w:t>5</w:t>
      </w:r>
      <w:r>
        <w:rPr>
          <w:rFonts w:hint="eastAsia" w:ascii="仿宋" w:hAnsi="仿宋" w:eastAsia="仿宋"/>
          <w:b w:val="0"/>
          <w:bCs w:val="0"/>
          <w:color w:val="auto"/>
          <w:sz w:val="30"/>
          <w:szCs w:val="30"/>
        </w:rPr>
        <w:t>月</w:t>
      </w:r>
      <w:r>
        <w:rPr>
          <w:rFonts w:hint="eastAsia" w:ascii="仿宋" w:hAnsi="仿宋" w:eastAsia="仿宋"/>
          <w:b w:val="0"/>
          <w:bCs w:val="0"/>
          <w:color w:val="auto"/>
          <w:sz w:val="30"/>
          <w:szCs w:val="30"/>
          <w:lang w:val="en-US" w:eastAsia="zh-CN"/>
        </w:rPr>
        <w:t>28</w:t>
      </w:r>
      <w:r>
        <w:rPr>
          <w:rFonts w:hint="eastAsia" w:ascii="仿宋" w:hAnsi="仿宋" w:eastAsia="仿宋"/>
          <w:b w:val="0"/>
          <w:bCs w:val="0"/>
          <w:color w:val="auto"/>
          <w:sz w:val="30"/>
          <w:szCs w:val="30"/>
        </w:rPr>
        <w:t>日</w:t>
      </w:r>
    </w:p>
    <w:p w14:paraId="31D274B7">
      <w:pPr>
        <w:spacing w:line="500" w:lineRule="exact"/>
        <w:rPr>
          <w:rFonts w:hint="eastAsia" w:ascii="仿宋" w:hAnsi="仿宋" w:eastAsia="仿宋"/>
          <w:sz w:val="28"/>
          <w:szCs w:val="24"/>
        </w:rPr>
      </w:pPr>
      <w:r>
        <w:rPr>
          <w:rFonts w:hint="eastAsia" w:ascii="仿宋" w:hAnsi="仿宋" w:eastAsia="仿宋"/>
          <w:sz w:val="28"/>
          <w:szCs w:val="24"/>
        </w:rPr>
        <w:t>参考分项报价表，请列入商务卷分项报价部分（投标单位可根据技术要求详细填写）</w:t>
      </w:r>
    </w:p>
    <w:p w14:paraId="71D47050">
      <w:pPr>
        <w:spacing w:line="500" w:lineRule="exact"/>
        <w:rPr>
          <w:rFonts w:hint="eastAsia" w:ascii="仿宋" w:hAnsi="仿宋" w:eastAsia="仿宋"/>
          <w:sz w:val="28"/>
          <w:szCs w:val="24"/>
        </w:rPr>
      </w:pPr>
    </w:p>
    <w:p w14:paraId="7DE5931D">
      <w:pPr>
        <w:spacing w:line="500" w:lineRule="exact"/>
        <w:rPr>
          <w:rFonts w:hint="eastAsia" w:ascii="仿宋" w:hAnsi="仿宋" w:eastAsia="仿宋"/>
          <w:sz w:val="28"/>
          <w:szCs w:val="24"/>
        </w:rPr>
      </w:pPr>
    </w:p>
    <w:p w14:paraId="6B49A8A8">
      <w:pPr>
        <w:spacing w:line="500" w:lineRule="exact"/>
        <w:rPr>
          <w:rFonts w:hint="eastAsia" w:ascii="仿宋" w:hAnsi="仿宋" w:eastAsia="仿宋"/>
          <w:sz w:val="28"/>
          <w:szCs w:val="24"/>
        </w:rPr>
      </w:pPr>
    </w:p>
    <w:p w14:paraId="03D82F3E">
      <w:pPr>
        <w:spacing w:line="500" w:lineRule="exact"/>
        <w:rPr>
          <w:rFonts w:hint="eastAsia" w:ascii="仿宋" w:hAnsi="仿宋" w:eastAsia="仿宋"/>
          <w:sz w:val="28"/>
          <w:szCs w:val="24"/>
        </w:rPr>
      </w:pPr>
    </w:p>
    <w:p w14:paraId="17991AE4">
      <w:pPr>
        <w:spacing w:line="500" w:lineRule="exact"/>
        <w:rPr>
          <w:rFonts w:hint="eastAsia" w:ascii="仿宋" w:hAnsi="仿宋" w:eastAsia="仿宋"/>
          <w:sz w:val="28"/>
          <w:szCs w:val="24"/>
        </w:rPr>
      </w:pPr>
    </w:p>
    <w:p w14:paraId="67A96D99">
      <w:pPr>
        <w:spacing w:line="500" w:lineRule="exact"/>
        <w:rPr>
          <w:rFonts w:hint="eastAsia" w:ascii="仿宋" w:hAnsi="仿宋" w:eastAsia="仿宋"/>
          <w:sz w:val="28"/>
          <w:szCs w:val="24"/>
        </w:rPr>
      </w:pPr>
    </w:p>
    <w:p w14:paraId="69DE7F70">
      <w:pPr>
        <w:spacing w:line="500" w:lineRule="exact"/>
        <w:rPr>
          <w:rFonts w:hint="eastAsia" w:ascii="仿宋" w:hAnsi="仿宋" w:eastAsia="仿宋"/>
          <w:sz w:val="28"/>
          <w:szCs w:val="24"/>
        </w:rPr>
      </w:pPr>
    </w:p>
    <w:p w14:paraId="17CBEB5E">
      <w:pPr>
        <w:spacing w:line="500" w:lineRule="exact"/>
        <w:rPr>
          <w:rFonts w:hint="eastAsia" w:ascii="仿宋" w:hAnsi="仿宋" w:eastAsia="仿宋"/>
          <w:sz w:val="28"/>
          <w:szCs w:val="24"/>
        </w:rPr>
      </w:pPr>
    </w:p>
    <w:tbl>
      <w:tblPr>
        <w:tblStyle w:val="52"/>
        <w:tblpPr w:leftFromText="180" w:rightFromText="180" w:vertAnchor="page" w:horzAnchor="margin" w:tblpY="2595"/>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621"/>
        <w:gridCol w:w="1074"/>
        <w:gridCol w:w="1487"/>
        <w:gridCol w:w="512"/>
        <w:gridCol w:w="515"/>
        <w:gridCol w:w="849"/>
        <w:gridCol w:w="849"/>
        <w:gridCol w:w="809"/>
        <w:gridCol w:w="1216"/>
      </w:tblGrid>
      <w:tr w14:paraId="15CA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trPr>
        <w:tc>
          <w:tcPr>
            <w:tcW w:w="710" w:type="dxa"/>
            <w:shd w:val="clear" w:color="auto" w:fill="auto"/>
            <w:vAlign w:val="center"/>
          </w:tcPr>
          <w:p w14:paraId="05113C69">
            <w:pPr>
              <w:widowControl/>
              <w:jc w:val="center"/>
              <w:rPr>
                <w:rFonts w:hint="eastAsia" w:ascii="宋体" w:hAnsi="宋体"/>
                <w:b/>
                <w:bCs/>
                <w:szCs w:val="21"/>
              </w:rPr>
            </w:pPr>
            <w:r>
              <w:rPr>
                <w:rFonts w:ascii="宋体" w:hAnsi="宋体"/>
                <w:b/>
                <w:bCs/>
                <w:kern w:val="0"/>
                <w:szCs w:val="21"/>
              </w:rPr>
              <w:t>序号</w:t>
            </w:r>
          </w:p>
        </w:tc>
        <w:tc>
          <w:tcPr>
            <w:tcW w:w="1695" w:type="dxa"/>
            <w:gridSpan w:val="2"/>
            <w:shd w:val="clear" w:color="auto" w:fill="auto"/>
            <w:vAlign w:val="center"/>
          </w:tcPr>
          <w:p w14:paraId="014731A9">
            <w:pPr>
              <w:widowControl/>
              <w:jc w:val="center"/>
              <w:rPr>
                <w:rFonts w:hint="eastAsia" w:ascii="宋体" w:hAnsi="宋体"/>
                <w:b/>
                <w:bCs/>
                <w:szCs w:val="21"/>
              </w:rPr>
            </w:pPr>
            <w:r>
              <w:rPr>
                <w:rFonts w:hint="eastAsia" w:ascii="宋体" w:hAnsi="宋体"/>
                <w:b/>
                <w:bCs/>
                <w:kern w:val="0"/>
                <w:szCs w:val="21"/>
              </w:rPr>
              <w:t>设备名称</w:t>
            </w:r>
          </w:p>
        </w:tc>
        <w:tc>
          <w:tcPr>
            <w:tcW w:w="1487" w:type="dxa"/>
            <w:vAlign w:val="center"/>
          </w:tcPr>
          <w:p w14:paraId="2348C5A3">
            <w:pPr>
              <w:jc w:val="center"/>
              <w:rPr>
                <w:rFonts w:hint="eastAsia" w:ascii="宋体" w:hAnsi="宋体"/>
                <w:b/>
                <w:bCs/>
                <w:kern w:val="0"/>
                <w:szCs w:val="21"/>
              </w:rPr>
            </w:pPr>
            <w:r>
              <w:rPr>
                <w:rFonts w:hint="eastAsia" w:ascii="宋体" w:hAnsi="宋体"/>
                <w:b/>
                <w:bCs/>
                <w:kern w:val="0"/>
                <w:szCs w:val="21"/>
              </w:rPr>
              <w:t>规格型号</w:t>
            </w:r>
          </w:p>
        </w:tc>
        <w:tc>
          <w:tcPr>
            <w:tcW w:w="512" w:type="dxa"/>
            <w:vAlign w:val="center"/>
          </w:tcPr>
          <w:p w14:paraId="39D2BC42">
            <w:pPr>
              <w:jc w:val="center"/>
              <w:rPr>
                <w:rFonts w:hint="eastAsia" w:ascii="宋体" w:hAnsi="宋体"/>
                <w:b/>
                <w:bCs/>
                <w:kern w:val="0"/>
                <w:szCs w:val="21"/>
              </w:rPr>
            </w:pPr>
            <w:r>
              <w:rPr>
                <w:rFonts w:hint="eastAsia" w:ascii="宋体" w:hAnsi="宋体"/>
                <w:b/>
                <w:bCs/>
                <w:kern w:val="0"/>
                <w:szCs w:val="21"/>
              </w:rPr>
              <w:t>单位</w:t>
            </w:r>
          </w:p>
        </w:tc>
        <w:tc>
          <w:tcPr>
            <w:tcW w:w="515" w:type="dxa"/>
            <w:vAlign w:val="center"/>
          </w:tcPr>
          <w:p w14:paraId="648CFE3D">
            <w:pPr>
              <w:jc w:val="center"/>
              <w:rPr>
                <w:rFonts w:hint="eastAsia" w:ascii="宋体" w:hAnsi="宋体" w:cs="宋体"/>
                <w:b/>
                <w:bCs/>
                <w:szCs w:val="21"/>
              </w:rPr>
            </w:pPr>
            <w:r>
              <w:rPr>
                <w:rFonts w:ascii="宋体" w:hAnsi="宋体"/>
                <w:b/>
                <w:bCs/>
                <w:kern w:val="0"/>
                <w:szCs w:val="21"/>
              </w:rPr>
              <w:t>数量</w:t>
            </w:r>
          </w:p>
        </w:tc>
        <w:tc>
          <w:tcPr>
            <w:tcW w:w="849" w:type="dxa"/>
            <w:shd w:val="clear" w:color="auto" w:fill="auto"/>
            <w:vAlign w:val="center"/>
          </w:tcPr>
          <w:p w14:paraId="10024C9F">
            <w:pPr>
              <w:jc w:val="center"/>
              <w:rPr>
                <w:rFonts w:hint="eastAsia" w:ascii="宋体" w:hAnsi="宋体" w:cs="Arial"/>
                <w:b/>
                <w:bCs/>
                <w:szCs w:val="21"/>
              </w:rPr>
            </w:pPr>
            <w:r>
              <w:rPr>
                <w:rFonts w:hint="eastAsia" w:ascii="宋体" w:hAnsi="宋体" w:cs="Arial"/>
                <w:b/>
                <w:bCs/>
                <w:szCs w:val="21"/>
              </w:rPr>
              <w:t>单价（元）</w:t>
            </w:r>
          </w:p>
        </w:tc>
        <w:tc>
          <w:tcPr>
            <w:tcW w:w="849" w:type="dxa"/>
            <w:shd w:val="clear" w:color="auto" w:fill="auto"/>
            <w:vAlign w:val="center"/>
          </w:tcPr>
          <w:p w14:paraId="434216CD">
            <w:pPr>
              <w:jc w:val="center"/>
              <w:rPr>
                <w:rFonts w:hint="eastAsia" w:ascii="宋体" w:hAnsi="宋体" w:cs="Arial"/>
                <w:b/>
                <w:bCs/>
                <w:szCs w:val="21"/>
              </w:rPr>
            </w:pPr>
            <w:r>
              <w:rPr>
                <w:rFonts w:hint="eastAsia" w:ascii="宋体" w:hAnsi="宋体" w:cs="Arial"/>
                <w:b/>
                <w:bCs/>
                <w:szCs w:val="21"/>
              </w:rPr>
              <w:t>总价（元）</w:t>
            </w:r>
          </w:p>
        </w:tc>
        <w:tc>
          <w:tcPr>
            <w:tcW w:w="809" w:type="dxa"/>
            <w:vAlign w:val="center"/>
          </w:tcPr>
          <w:p w14:paraId="5971824D">
            <w:pPr>
              <w:widowControl/>
              <w:jc w:val="center"/>
              <w:rPr>
                <w:rFonts w:hint="eastAsia" w:ascii="宋体" w:hAnsi="宋体"/>
                <w:b/>
                <w:bCs/>
                <w:kern w:val="0"/>
                <w:szCs w:val="21"/>
              </w:rPr>
            </w:pPr>
            <w:r>
              <w:rPr>
                <w:rFonts w:hint="eastAsia" w:ascii="宋体" w:hAnsi="宋体"/>
                <w:b/>
                <w:bCs/>
                <w:kern w:val="0"/>
                <w:szCs w:val="21"/>
              </w:rPr>
              <w:t>品牌/厂家</w:t>
            </w:r>
          </w:p>
        </w:tc>
        <w:tc>
          <w:tcPr>
            <w:tcW w:w="1216" w:type="dxa"/>
            <w:shd w:val="clear" w:color="auto" w:fill="auto"/>
            <w:vAlign w:val="center"/>
          </w:tcPr>
          <w:p w14:paraId="72A096EA">
            <w:pPr>
              <w:widowControl/>
              <w:jc w:val="center"/>
              <w:rPr>
                <w:rFonts w:hint="eastAsia" w:ascii="宋体" w:hAnsi="宋体"/>
                <w:b/>
                <w:bCs/>
                <w:szCs w:val="21"/>
              </w:rPr>
            </w:pPr>
            <w:r>
              <w:rPr>
                <w:rFonts w:hint="eastAsia" w:ascii="宋体" w:hAnsi="宋体"/>
                <w:b/>
                <w:bCs/>
                <w:kern w:val="0"/>
                <w:szCs w:val="21"/>
              </w:rPr>
              <w:t>备注</w:t>
            </w:r>
          </w:p>
        </w:tc>
      </w:tr>
      <w:tr w14:paraId="7BDB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shd w:val="clear" w:color="auto" w:fill="auto"/>
            <w:vAlign w:val="center"/>
          </w:tcPr>
          <w:p w14:paraId="1754F766">
            <w:pPr>
              <w:widowControl/>
              <w:jc w:val="center"/>
              <w:rPr>
                <w:rFonts w:hint="eastAsia" w:ascii="宋体" w:hAnsi="宋体"/>
                <w:b/>
                <w:bCs/>
                <w:szCs w:val="21"/>
              </w:rPr>
            </w:pPr>
            <w:r>
              <w:rPr>
                <w:rFonts w:hint="eastAsia" w:ascii="宋体" w:hAnsi="宋体"/>
                <w:kern w:val="0"/>
                <w:szCs w:val="21"/>
              </w:rPr>
              <w:t>1</w:t>
            </w:r>
          </w:p>
        </w:tc>
        <w:tc>
          <w:tcPr>
            <w:tcW w:w="1695" w:type="dxa"/>
            <w:gridSpan w:val="2"/>
            <w:shd w:val="clear" w:color="auto" w:fill="auto"/>
            <w:vAlign w:val="center"/>
          </w:tcPr>
          <w:p w14:paraId="31A3BDC0">
            <w:pPr>
              <w:widowControl/>
              <w:rPr>
                <w:rFonts w:hint="eastAsia" w:ascii="宋体" w:hAnsi="宋体"/>
                <w:b/>
                <w:bCs/>
                <w:szCs w:val="21"/>
              </w:rPr>
            </w:pPr>
          </w:p>
        </w:tc>
        <w:tc>
          <w:tcPr>
            <w:tcW w:w="1487" w:type="dxa"/>
          </w:tcPr>
          <w:p w14:paraId="71B34357">
            <w:pPr>
              <w:jc w:val="center"/>
              <w:rPr>
                <w:rFonts w:hint="eastAsia" w:ascii="宋体" w:hAnsi="宋体"/>
                <w:b/>
                <w:bCs/>
                <w:szCs w:val="21"/>
              </w:rPr>
            </w:pPr>
          </w:p>
        </w:tc>
        <w:tc>
          <w:tcPr>
            <w:tcW w:w="512" w:type="dxa"/>
            <w:vAlign w:val="center"/>
          </w:tcPr>
          <w:p w14:paraId="052B6396">
            <w:pPr>
              <w:jc w:val="center"/>
              <w:rPr>
                <w:rFonts w:hint="eastAsia" w:ascii="宋体" w:hAnsi="宋体"/>
                <w:b/>
                <w:bCs/>
                <w:szCs w:val="21"/>
              </w:rPr>
            </w:pPr>
          </w:p>
        </w:tc>
        <w:tc>
          <w:tcPr>
            <w:tcW w:w="515" w:type="dxa"/>
            <w:vAlign w:val="center"/>
          </w:tcPr>
          <w:p w14:paraId="6C981215">
            <w:pPr>
              <w:jc w:val="center"/>
              <w:rPr>
                <w:rFonts w:hint="eastAsia" w:ascii="宋体" w:hAnsi="宋体"/>
                <w:b/>
                <w:bCs/>
                <w:szCs w:val="21"/>
              </w:rPr>
            </w:pPr>
          </w:p>
        </w:tc>
        <w:tc>
          <w:tcPr>
            <w:tcW w:w="849" w:type="dxa"/>
            <w:shd w:val="clear" w:color="auto" w:fill="auto"/>
            <w:vAlign w:val="center"/>
          </w:tcPr>
          <w:p w14:paraId="20FAB05C">
            <w:pPr>
              <w:widowControl/>
              <w:jc w:val="center"/>
              <w:rPr>
                <w:rFonts w:hint="eastAsia" w:ascii="宋体" w:hAnsi="宋体"/>
                <w:b/>
                <w:bCs/>
                <w:szCs w:val="21"/>
              </w:rPr>
            </w:pPr>
          </w:p>
        </w:tc>
        <w:tc>
          <w:tcPr>
            <w:tcW w:w="849" w:type="dxa"/>
            <w:shd w:val="clear" w:color="auto" w:fill="auto"/>
            <w:vAlign w:val="center"/>
          </w:tcPr>
          <w:p w14:paraId="4C4C6F4B">
            <w:pPr>
              <w:widowControl/>
              <w:jc w:val="center"/>
              <w:rPr>
                <w:rFonts w:hint="eastAsia" w:ascii="宋体" w:hAnsi="宋体"/>
                <w:b/>
                <w:bCs/>
                <w:szCs w:val="21"/>
              </w:rPr>
            </w:pPr>
          </w:p>
        </w:tc>
        <w:tc>
          <w:tcPr>
            <w:tcW w:w="809" w:type="dxa"/>
          </w:tcPr>
          <w:p w14:paraId="2B568117">
            <w:pPr>
              <w:widowControl/>
              <w:jc w:val="center"/>
              <w:rPr>
                <w:rFonts w:hint="eastAsia" w:ascii="宋体" w:hAnsi="宋体"/>
                <w:b/>
                <w:bCs/>
                <w:szCs w:val="21"/>
              </w:rPr>
            </w:pPr>
          </w:p>
        </w:tc>
        <w:tc>
          <w:tcPr>
            <w:tcW w:w="1216" w:type="dxa"/>
            <w:shd w:val="clear" w:color="auto" w:fill="auto"/>
            <w:vAlign w:val="center"/>
          </w:tcPr>
          <w:p w14:paraId="30A317F6">
            <w:pPr>
              <w:widowControl/>
              <w:rPr>
                <w:rFonts w:hint="eastAsia" w:ascii="宋体" w:hAnsi="宋体"/>
                <w:b/>
                <w:bCs/>
                <w:szCs w:val="21"/>
              </w:rPr>
            </w:pPr>
          </w:p>
        </w:tc>
      </w:tr>
      <w:tr w14:paraId="7301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1E64AC48">
            <w:pPr>
              <w:jc w:val="center"/>
              <w:rPr>
                <w:rFonts w:hint="eastAsia" w:ascii="宋体" w:hAnsi="宋体" w:cs="宋体"/>
                <w:szCs w:val="21"/>
              </w:rPr>
            </w:pPr>
            <w:r>
              <w:rPr>
                <w:rFonts w:hint="eastAsia" w:ascii="宋体" w:hAnsi="宋体" w:cs="宋体"/>
                <w:szCs w:val="21"/>
              </w:rPr>
              <w:t>2</w:t>
            </w:r>
          </w:p>
        </w:tc>
        <w:tc>
          <w:tcPr>
            <w:tcW w:w="1695" w:type="dxa"/>
            <w:gridSpan w:val="2"/>
            <w:vAlign w:val="center"/>
          </w:tcPr>
          <w:p w14:paraId="17320B05">
            <w:pPr>
              <w:widowControl/>
              <w:textAlignment w:val="center"/>
              <w:rPr>
                <w:rFonts w:hint="eastAsia" w:ascii="宋体" w:hAnsi="宋体" w:cs="宋体"/>
                <w:szCs w:val="21"/>
              </w:rPr>
            </w:pPr>
          </w:p>
        </w:tc>
        <w:tc>
          <w:tcPr>
            <w:tcW w:w="1487" w:type="dxa"/>
          </w:tcPr>
          <w:p w14:paraId="75DD6F84">
            <w:pPr>
              <w:jc w:val="center"/>
              <w:rPr>
                <w:rFonts w:hint="eastAsia" w:ascii="宋体" w:hAnsi="宋体" w:cs="宋体"/>
                <w:szCs w:val="21"/>
              </w:rPr>
            </w:pPr>
          </w:p>
        </w:tc>
        <w:tc>
          <w:tcPr>
            <w:tcW w:w="512" w:type="dxa"/>
            <w:vAlign w:val="center"/>
          </w:tcPr>
          <w:p w14:paraId="4B0C1DB4">
            <w:pPr>
              <w:jc w:val="center"/>
              <w:rPr>
                <w:rFonts w:hint="eastAsia" w:ascii="宋体" w:hAnsi="宋体" w:cs="宋体"/>
                <w:szCs w:val="21"/>
              </w:rPr>
            </w:pPr>
          </w:p>
        </w:tc>
        <w:tc>
          <w:tcPr>
            <w:tcW w:w="515" w:type="dxa"/>
            <w:vAlign w:val="center"/>
          </w:tcPr>
          <w:p w14:paraId="2ADC5AE2">
            <w:pPr>
              <w:jc w:val="center"/>
              <w:rPr>
                <w:rFonts w:hint="eastAsia" w:ascii="宋体" w:hAnsi="宋体" w:cs="宋体"/>
                <w:szCs w:val="21"/>
              </w:rPr>
            </w:pPr>
          </w:p>
        </w:tc>
        <w:tc>
          <w:tcPr>
            <w:tcW w:w="849" w:type="dxa"/>
            <w:vAlign w:val="center"/>
          </w:tcPr>
          <w:p w14:paraId="6297576E">
            <w:pPr>
              <w:jc w:val="center"/>
              <w:rPr>
                <w:rFonts w:hint="eastAsia" w:ascii="宋体" w:hAnsi="宋体" w:cs="宋体"/>
                <w:szCs w:val="21"/>
              </w:rPr>
            </w:pPr>
          </w:p>
        </w:tc>
        <w:tc>
          <w:tcPr>
            <w:tcW w:w="849" w:type="dxa"/>
            <w:vAlign w:val="center"/>
          </w:tcPr>
          <w:p w14:paraId="6302142A">
            <w:pPr>
              <w:jc w:val="center"/>
              <w:rPr>
                <w:rFonts w:hint="eastAsia" w:ascii="宋体" w:hAnsi="宋体" w:cs="宋体"/>
                <w:szCs w:val="21"/>
              </w:rPr>
            </w:pPr>
          </w:p>
        </w:tc>
        <w:tc>
          <w:tcPr>
            <w:tcW w:w="809" w:type="dxa"/>
          </w:tcPr>
          <w:p w14:paraId="61CC7D1A">
            <w:pPr>
              <w:jc w:val="center"/>
              <w:rPr>
                <w:rFonts w:hint="eastAsia" w:ascii="宋体" w:hAnsi="宋体" w:cs="宋体"/>
                <w:szCs w:val="21"/>
              </w:rPr>
            </w:pPr>
          </w:p>
        </w:tc>
        <w:tc>
          <w:tcPr>
            <w:tcW w:w="1216" w:type="dxa"/>
            <w:vAlign w:val="center"/>
          </w:tcPr>
          <w:p w14:paraId="7CE83338">
            <w:pPr>
              <w:rPr>
                <w:rFonts w:hint="eastAsia" w:ascii="宋体" w:hAnsi="宋体" w:cs="宋体"/>
                <w:szCs w:val="21"/>
              </w:rPr>
            </w:pPr>
          </w:p>
        </w:tc>
      </w:tr>
      <w:tr w14:paraId="6CFD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2D79773B">
            <w:pPr>
              <w:jc w:val="center"/>
              <w:rPr>
                <w:rFonts w:hint="eastAsia" w:ascii="宋体" w:hAnsi="宋体" w:cs="宋体"/>
                <w:szCs w:val="21"/>
              </w:rPr>
            </w:pPr>
            <w:r>
              <w:rPr>
                <w:rFonts w:hint="eastAsia" w:ascii="宋体" w:hAnsi="宋体" w:cs="宋体"/>
                <w:szCs w:val="21"/>
              </w:rPr>
              <w:t>3</w:t>
            </w:r>
          </w:p>
        </w:tc>
        <w:tc>
          <w:tcPr>
            <w:tcW w:w="1695" w:type="dxa"/>
            <w:gridSpan w:val="2"/>
            <w:vAlign w:val="center"/>
          </w:tcPr>
          <w:p w14:paraId="27DFCAB5">
            <w:pPr>
              <w:widowControl/>
              <w:textAlignment w:val="center"/>
              <w:rPr>
                <w:rFonts w:hint="eastAsia" w:ascii="宋体" w:hAnsi="宋体" w:cs="宋体"/>
                <w:szCs w:val="21"/>
              </w:rPr>
            </w:pPr>
          </w:p>
        </w:tc>
        <w:tc>
          <w:tcPr>
            <w:tcW w:w="1487" w:type="dxa"/>
          </w:tcPr>
          <w:p w14:paraId="4F70450A">
            <w:pPr>
              <w:jc w:val="center"/>
              <w:rPr>
                <w:rFonts w:hint="eastAsia" w:ascii="宋体" w:hAnsi="宋体" w:cs="宋体"/>
                <w:szCs w:val="21"/>
              </w:rPr>
            </w:pPr>
          </w:p>
        </w:tc>
        <w:tc>
          <w:tcPr>
            <w:tcW w:w="512" w:type="dxa"/>
            <w:vAlign w:val="center"/>
          </w:tcPr>
          <w:p w14:paraId="21156ED2">
            <w:pPr>
              <w:jc w:val="center"/>
              <w:rPr>
                <w:rFonts w:hint="eastAsia" w:ascii="宋体" w:hAnsi="宋体" w:cs="宋体"/>
                <w:szCs w:val="21"/>
              </w:rPr>
            </w:pPr>
          </w:p>
        </w:tc>
        <w:tc>
          <w:tcPr>
            <w:tcW w:w="515" w:type="dxa"/>
            <w:vAlign w:val="center"/>
          </w:tcPr>
          <w:p w14:paraId="4E492E21">
            <w:pPr>
              <w:jc w:val="center"/>
              <w:rPr>
                <w:rFonts w:hint="eastAsia" w:ascii="宋体" w:hAnsi="宋体" w:cs="宋体"/>
                <w:szCs w:val="21"/>
              </w:rPr>
            </w:pPr>
          </w:p>
        </w:tc>
        <w:tc>
          <w:tcPr>
            <w:tcW w:w="849" w:type="dxa"/>
            <w:vAlign w:val="center"/>
          </w:tcPr>
          <w:p w14:paraId="687B7889">
            <w:pPr>
              <w:jc w:val="center"/>
              <w:rPr>
                <w:rFonts w:hint="eastAsia" w:ascii="宋体" w:hAnsi="宋体" w:cs="宋体"/>
                <w:szCs w:val="21"/>
              </w:rPr>
            </w:pPr>
          </w:p>
        </w:tc>
        <w:tc>
          <w:tcPr>
            <w:tcW w:w="849" w:type="dxa"/>
            <w:vAlign w:val="center"/>
          </w:tcPr>
          <w:p w14:paraId="63CC03B9">
            <w:pPr>
              <w:jc w:val="center"/>
              <w:rPr>
                <w:rFonts w:hint="eastAsia" w:ascii="宋体" w:hAnsi="宋体" w:cs="宋体"/>
                <w:szCs w:val="21"/>
              </w:rPr>
            </w:pPr>
          </w:p>
        </w:tc>
        <w:tc>
          <w:tcPr>
            <w:tcW w:w="809" w:type="dxa"/>
          </w:tcPr>
          <w:p w14:paraId="24B7B5E3">
            <w:pPr>
              <w:jc w:val="center"/>
              <w:rPr>
                <w:rFonts w:hint="eastAsia" w:ascii="宋体" w:hAnsi="宋体" w:cs="宋体"/>
                <w:szCs w:val="21"/>
              </w:rPr>
            </w:pPr>
          </w:p>
        </w:tc>
        <w:tc>
          <w:tcPr>
            <w:tcW w:w="1216" w:type="dxa"/>
            <w:vAlign w:val="center"/>
          </w:tcPr>
          <w:p w14:paraId="36C98B99">
            <w:pPr>
              <w:rPr>
                <w:rFonts w:hint="eastAsia" w:ascii="宋体" w:hAnsi="宋体" w:cs="宋体"/>
                <w:szCs w:val="21"/>
              </w:rPr>
            </w:pPr>
          </w:p>
        </w:tc>
      </w:tr>
      <w:tr w14:paraId="626E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10" w:type="dxa"/>
            <w:vAlign w:val="center"/>
          </w:tcPr>
          <w:p w14:paraId="4B9A6DDF">
            <w:pPr>
              <w:jc w:val="center"/>
              <w:rPr>
                <w:rFonts w:hint="eastAsia" w:ascii="宋体" w:hAnsi="宋体" w:cs="宋体"/>
                <w:szCs w:val="21"/>
              </w:rPr>
            </w:pPr>
          </w:p>
        </w:tc>
        <w:tc>
          <w:tcPr>
            <w:tcW w:w="1695" w:type="dxa"/>
            <w:gridSpan w:val="2"/>
            <w:vAlign w:val="center"/>
          </w:tcPr>
          <w:p w14:paraId="7E75E2F1">
            <w:pPr>
              <w:rPr>
                <w:rFonts w:hint="eastAsia" w:ascii="宋体" w:hAnsi="宋体" w:cs="宋体"/>
                <w:szCs w:val="21"/>
              </w:rPr>
            </w:pPr>
          </w:p>
        </w:tc>
        <w:tc>
          <w:tcPr>
            <w:tcW w:w="1487" w:type="dxa"/>
          </w:tcPr>
          <w:p w14:paraId="0B903D14">
            <w:pPr>
              <w:jc w:val="center"/>
              <w:rPr>
                <w:rFonts w:hint="eastAsia" w:ascii="宋体" w:hAnsi="宋体" w:cs="宋体"/>
                <w:szCs w:val="21"/>
              </w:rPr>
            </w:pPr>
          </w:p>
        </w:tc>
        <w:tc>
          <w:tcPr>
            <w:tcW w:w="512" w:type="dxa"/>
            <w:vAlign w:val="center"/>
          </w:tcPr>
          <w:p w14:paraId="3783CFC1">
            <w:pPr>
              <w:jc w:val="center"/>
              <w:rPr>
                <w:rFonts w:hint="eastAsia" w:ascii="宋体" w:hAnsi="宋体" w:cs="宋体"/>
                <w:szCs w:val="21"/>
              </w:rPr>
            </w:pPr>
          </w:p>
        </w:tc>
        <w:tc>
          <w:tcPr>
            <w:tcW w:w="515" w:type="dxa"/>
            <w:vAlign w:val="center"/>
          </w:tcPr>
          <w:p w14:paraId="56C5EE63">
            <w:pPr>
              <w:jc w:val="center"/>
              <w:rPr>
                <w:rFonts w:hint="eastAsia" w:ascii="宋体" w:hAnsi="宋体" w:cs="宋体"/>
                <w:szCs w:val="21"/>
              </w:rPr>
            </w:pPr>
          </w:p>
        </w:tc>
        <w:tc>
          <w:tcPr>
            <w:tcW w:w="849" w:type="dxa"/>
            <w:vAlign w:val="center"/>
          </w:tcPr>
          <w:p w14:paraId="02572C8D">
            <w:pPr>
              <w:jc w:val="center"/>
              <w:rPr>
                <w:rFonts w:hint="eastAsia" w:ascii="宋体" w:hAnsi="宋体" w:cs="宋体"/>
                <w:szCs w:val="21"/>
              </w:rPr>
            </w:pPr>
          </w:p>
        </w:tc>
        <w:tc>
          <w:tcPr>
            <w:tcW w:w="849" w:type="dxa"/>
            <w:vAlign w:val="center"/>
          </w:tcPr>
          <w:p w14:paraId="6554D5DE">
            <w:pPr>
              <w:jc w:val="center"/>
              <w:rPr>
                <w:rFonts w:hint="eastAsia" w:ascii="宋体" w:hAnsi="宋体" w:cs="宋体"/>
                <w:szCs w:val="21"/>
              </w:rPr>
            </w:pPr>
          </w:p>
        </w:tc>
        <w:tc>
          <w:tcPr>
            <w:tcW w:w="809" w:type="dxa"/>
          </w:tcPr>
          <w:p w14:paraId="029D8BC8">
            <w:pPr>
              <w:jc w:val="center"/>
              <w:rPr>
                <w:rFonts w:hint="eastAsia" w:ascii="宋体" w:hAnsi="宋体" w:cs="宋体"/>
                <w:szCs w:val="21"/>
              </w:rPr>
            </w:pPr>
          </w:p>
        </w:tc>
        <w:tc>
          <w:tcPr>
            <w:tcW w:w="1216" w:type="dxa"/>
            <w:vAlign w:val="center"/>
          </w:tcPr>
          <w:p w14:paraId="710831DF">
            <w:pPr>
              <w:rPr>
                <w:rFonts w:hint="eastAsia" w:ascii="宋体" w:hAnsi="宋体" w:cs="宋体"/>
                <w:szCs w:val="21"/>
              </w:rPr>
            </w:pPr>
          </w:p>
        </w:tc>
      </w:tr>
      <w:tr w14:paraId="4225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10" w:type="dxa"/>
            <w:vAlign w:val="center"/>
          </w:tcPr>
          <w:p w14:paraId="3A35D5CF">
            <w:pPr>
              <w:jc w:val="center"/>
              <w:rPr>
                <w:rFonts w:hint="eastAsia" w:ascii="宋体" w:hAnsi="宋体" w:cs="宋体"/>
                <w:szCs w:val="21"/>
              </w:rPr>
            </w:pPr>
            <w:r>
              <w:rPr>
                <w:rFonts w:hint="eastAsia" w:ascii="宋体" w:hAnsi="宋体" w:cs="宋体"/>
                <w:szCs w:val="21"/>
              </w:rPr>
              <w:t>*</w:t>
            </w:r>
          </w:p>
        </w:tc>
        <w:tc>
          <w:tcPr>
            <w:tcW w:w="1695" w:type="dxa"/>
            <w:gridSpan w:val="2"/>
            <w:vAlign w:val="center"/>
          </w:tcPr>
          <w:p w14:paraId="3E582DAE">
            <w:pPr>
              <w:rPr>
                <w:rFonts w:hint="eastAsia" w:ascii="宋体" w:hAnsi="宋体" w:cs="宋体"/>
                <w:spacing w:val="5"/>
                <w:szCs w:val="21"/>
              </w:rPr>
            </w:pPr>
            <w:r>
              <w:rPr>
                <w:rFonts w:hint="eastAsia" w:ascii="宋体" w:hAnsi="宋体" w:cs="宋体"/>
                <w:spacing w:val="5"/>
                <w:szCs w:val="21"/>
              </w:rPr>
              <w:t>********其他</w:t>
            </w:r>
          </w:p>
        </w:tc>
        <w:tc>
          <w:tcPr>
            <w:tcW w:w="1487" w:type="dxa"/>
          </w:tcPr>
          <w:p w14:paraId="57DD50FD">
            <w:pPr>
              <w:jc w:val="center"/>
              <w:rPr>
                <w:rFonts w:hint="eastAsia" w:ascii="宋体" w:hAnsi="宋体" w:cs="宋体"/>
                <w:szCs w:val="21"/>
              </w:rPr>
            </w:pPr>
          </w:p>
        </w:tc>
        <w:tc>
          <w:tcPr>
            <w:tcW w:w="512" w:type="dxa"/>
            <w:vAlign w:val="center"/>
          </w:tcPr>
          <w:p w14:paraId="6078DF83">
            <w:pPr>
              <w:jc w:val="center"/>
              <w:rPr>
                <w:rFonts w:hint="eastAsia" w:ascii="宋体" w:hAnsi="宋体" w:cs="宋体"/>
                <w:szCs w:val="21"/>
              </w:rPr>
            </w:pPr>
          </w:p>
        </w:tc>
        <w:tc>
          <w:tcPr>
            <w:tcW w:w="515" w:type="dxa"/>
            <w:vAlign w:val="center"/>
          </w:tcPr>
          <w:p w14:paraId="18238A1F">
            <w:pPr>
              <w:jc w:val="center"/>
              <w:rPr>
                <w:rFonts w:hint="eastAsia" w:ascii="宋体" w:hAnsi="宋体" w:cs="宋体"/>
                <w:szCs w:val="21"/>
              </w:rPr>
            </w:pPr>
          </w:p>
        </w:tc>
        <w:tc>
          <w:tcPr>
            <w:tcW w:w="849" w:type="dxa"/>
            <w:vAlign w:val="center"/>
          </w:tcPr>
          <w:p w14:paraId="26767F76">
            <w:pPr>
              <w:jc w:val="center"/>
              <w:rPr>
                <w:rFonts w:hint="eastAsia" w:ascii="宋体" w:hAnsi="宋体" w:cs="宋体"/>
                <w:szCs w:val="21"/>
              </w:rPr>
            </w:pPr>
          </w:p>
        </w:tc>
        <w:tc>
          <w:tcPr>
            <w:tcW w:w="849" w:type="dxa"/>
            <w:vAlign w:val="center"/>
          </w:tcPr>
          <w:p w14:paraId="2B048E30">
            <w:pPr>
              <w:jc w:val="center"/>
              <w:rPr>
                <w:rFonts w:hint="eastAsia" w:ascii="宋体" w:hAnsi="宋体" w:cs="宋体"/>
                <w:szCs w:val="21"/>
              </w:rPr>
            </w:pPr>
          </w:p>
        </w:tc>
        <w:tc>
          <w:tcPr>
            <w:tcW w:w="809" w:type="dxa"/>
          </w:tcPr>
          <w:p w14:paraId="68CF8361">
            <w:pPr>
              <w:jc w:val="center"/>
              <w:rPr>
                <w:rFonts w:hint="eastAsia" w:ascii="宋体" w:hAnsi="宋体" w:cs="宋体"/>
                <w:szCs w:val="21"/>
              </w:rPr>
            </w:pPr>
          </w:p>
        </w:tc>
        <w:tc>
          <w:tcPr>
            <w:tcW w:w="1216" w:type="dxa"/>
            <w:vAlign w:val="center"/>
          </w:tcPr>
          <w:p w14:paraId="7BF00610">
            <w:pPr>
              <w:rPr>
                <w:rFonts w:hint="eastAsia" w:ascii="宋体" w:hAnsi="宋体" w:cs="宋体"/>
                <w:szCs w:val="21"/>
              </w:rPr>
            </w:pPr>
          </w:p>
        </w:tc>
      </w:tr>
      <w:tr w14:paraId="6825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31" w:type="dxa"/>
            <w:gridSpan w:val="2"/>
          </w:tcPr>
          <w:p w14:paraId="35CED93C">
            <w:pPr>
              <w:jc w:val="center"/>
              <w:rPr>
                <w:rFonts w:hint="eastAsia" w:ascii="宋体" w:hAnsi="宋体" w:cs="宋体"/>
                <w:szCs w:val="21"/>
              </w:rPr>
            </w:pPr>
          </w:p>
        </w:tc>
        <w:tc>
          <w:tcPr>
            <w:tcW w:w="3588" w:type="dxa"/>
            <w:gridSpan w:val="4"/>
            <w:vAlign w:val="center"/>
          </w:tcPr>
          <w:p w14:paraId="5B709E2C">
            <w:pPr>
              <w:jc w:val="center"/>
              <w:rPr>
                <w:rFonts w:hint="eastAsia" w:ascii="宋体" w:hAnsi="宋体" w:cs="宋体"/>
                <w:szCs w:val="21"/>
              </w:rPr>
            </w:pPr>
            <w:r>
              <w:rPr>
                <w:rFonts w:hint="eastAsia" w:ascii="宋体" w:hAnsi="宋体" w:cs="宋体"/>
                <w:szCs w:val="21"/>
              </w:rPr>
              <w:t>总价合计</w:t>
            </w:r>
          </w:p>
        </w:tc>
        <w:tc>
          <w:tcPr>
            <w:tcW w:w="849" w:type="dxa"/>
            <w:vAlign w:val="center"/>
          </w:tcPr>
          <w:p w14:paraId="0A70F3DA">
            <w:pPr>
              <w:jc w:val="center"/>
              <w:rPr>
                <w:rFonts w:hint="eastAsia" w:ascii="宋体" w:hAnsi="宋体" w:cs="宋体"/>
                <w:szCs w:val="21"/>
              </w:rPr>
            </w:pPr>
          </w:p>
        </w:tc>
        <w:tc>
          <w:tcPr>
            <w:tcW w:w="849" w:type="dxa"/>
            <w:vAlign w:val="center"/>
          </w:tcPr>
          <w:p w14:paraId="2A479AF5">
            <w:pPr>
              <w:jc w:val="center"/>
              <w:rPr>
                <w:rFonts w:hint="eastAsia" w:ascii="宋体" w:hAnsi="宋体" w:cs="宋体"/>
                <w:szCs w:val="21"/>
              </w:rPr>
            </w:pPr>
          </w:p>
        </w:tc>
        <w:tc>
          <w:tcPr>
            <w:tcW w:w="809" w:type="dxa"/>
          </w:tcPr>
          <w:p w14:paraId="18107BA7">
            <w:pPr>
              <w:jc w:val="center"/>
              <w:rPr>
                <w:rFonts w:hint="eastAsia" w:ascii="宋体" w:hAnsi="宋体" w:cs="宋体"/>
                <w:szCs w:val="21"/>
              </w:rPr>
            </w:pPr>
          </w:p>
        </w:tc>
        <w:tc>
          <w:tcPr>
            <w:tcW w:w="1216" w:type="dxa"/>
            <w:vAlign w:val="center"/>
          </w:tcPr>
          <w:p w14:paraId="4B64768E">
            <w:pPr>
              <w:rPr>
                <w:rFonts w:hint="eastAsia" w:ascii="宋体" w:hAnsi="宋体" w:cs="宋体"/>
                <w:szCs w:val="21"/>
              </w:rPr>
            </w:pPr>
          </w:p>
        </w:tc>
      </w:tr>
    </w:tbl>
    <w:p w14:paraId="7022765A">
      <w:pPr>
        <w:spacing w:line="500" w:lineRule="exact"/>
        <w:rPr>
          <w:rFonts w:hint="eastAsia" w:ascii="仿宋" w:hAnsi="仿宋" w:eastAsia="仿宋"/>
          <w:sz w:val="28"/>
          <w:szCs w:val="24"/>
        </w:rPr>
      </w:pPr>
    </w:p>
    <w:p w14:paraId="7523459D">
      <w:pPr>
        <w:widowControl/>
        <w:jc w:val="left"/>
        <w:rPr>
          <w:rFonts w:hint="eastAsia" w:ascii="仿宋" w:hAnsi="仿宋" w:eastAsia="仿宋"/>
          <w:sz w:val="28"/>
          <w:szCs w:val="24"/>
        </w:rPr>
        <w:sectPr>
          <w:pgSz w:w="11905" w:h="16838"/>
          <w:pgMar w:top="1276" w:right="1587" w:bottom="1304" w:left="1587" w:header="567" w:footer="850" w:gutter="0"/>
          <w:pgNumType w:start="1"/>
          <w:cols w:space="0" w:num="1"/>
          <w:docGrid w:linePitch="326" w:charSpace="0"/>
        </w:sectPr>
      </w:pPr>
      <w:r>
        <w:rPr>
          <w:rFonts w:hint="eastAsia" w:ascii="仿宋" w:hAnsi="仿宋" w:eastAsia="仿宋"/>
          <w:sz w:val="28"/>
          <w:szCs w:val="24"/>
        </w:rPr>
        <w:br w:type="page"/>
      </w:r>
    </w:p>
    <w:p w14:paraId="6532A007">
      <w:pPr>
        <w:spacing w:line="500" w:lineRule="exact"/>
        <w:rPr>
          <w:rFonts w:hint="eastAsia" w:ascii="仿宋_GB2312" w:hAnsi="宋体" w:eastAsia="仿宋"/>
          <w:sz w:val="30"/>
          <w:szCs w:val="30"/>
        </w:rPr>
      </w:pPr>
      <w:r>
        <w:rPr>
          <w:rFonts w:hint="eastAsia" w:ascii="仿宋" w:hAnsi="仿宋" w:eastAsia="仿宋"/>
          <w:sz w:val="28"/>
          <w:szCs w:val="24"/>
        </w:rPr>
        <w:t>附件6、</w:t>
      </w:r>
      <w:r>
        <w:rPr>
          <w:rFonts w:hint="eastAsia" w:ascii="仿宋" w:hAnsi="仿宋" w:eastAsia="仿宋"/>
          <w:sz w:val="28"/>
          <w:szCs w:val="28"/>
        </w:rPr>
        <w:t>参考合同条款（具体以签订合同为准）</w:t>
      </w:r>
    </w:p>
    <w:p w14:paraId="62322075">
      <w:pPr>
        <w:widowControl/>
        <w:adjustRightInd w:val="0"/>
        <w:snapToGrid w:val="0"/>
        <w:spacing w:after="200" w:line="360" w:lineRule="auto"/>
        <w:jc w:val="center"/>
        <w:rPr>
          <w:rFonts w:hint="eastAsia" w:ascii="黑体" w:hAnsi="黑体" w:eastAsia="黑体" w:cs="仿宋"/>
          <w:b/>
          <w:kern w:val="0"/>
          <w:sz w:val="52"/>
          <w:szCs w:val="52"/>
        </w:rPr>
      </w:pPr>
      <w:r>
        <w:rPr>
          <w:rFonts w:hint="eastAsia" w:ascii="黑体" w:hAnsi="黑体" w:eastAsia="黑体" w:cs="仿宋"/>
          <w:b/>
          <w:kern w:val="0"/>
          <w:sz w:val="52"/>
          <w:szCs w:val="52"/>
        </w:rPr>
        <w:t>*********有限公司</w:t>
      </w:r>
    </w:p>
    <w:p w14:paraId="38140245">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w:t>
      </w:r>
    </w:p>
    <w:p w14:paraId="72A7DBC4">
      <w:pPr>
        <w:spacing w:line="360" w:lineRule="auto"/>
        <w:jc w:val="center"/>
        <w:rPr>
          <w:rFonts w:hint="eastAsia" w:ascii="黑体" w:hAnsi="黑体" w:eastAsia="黑体"/>
          <w:sz w:val="44"/>
          <w:szCs w:val="44"/>
        </w:rPr>
      </w:pPr>
      <w:r>
        <w:rPr>
          <w:rFonts w:hint="eastAsia" w:ascii="黑体" w:hAnsi="黑体" w:eastAsia="黑体"/>
          <w:sz w:val="44"/>
          <w:szCs w:val="44"/>
        </w:rPr>
        <w:t>商务合同</w:t>
      </w:r>
    </w:p>
    <w:p w14:paraId="2CA6F214">
      <w:pPr>
        <w:spacing w:line="360" w:lineRule="auto"/>
        <w:ind w:firstLine="560" w:firstLineChars="200"/>
        <w:jc w:val="center"/>
        <w:rPr>
          <w:rFonts w:hint="eastAsia" w:asciiTheme="minorEastAsia" w:hAnsiTheme="minorEastAsia"/>
          <w:sz w:val="28"/>
          <w:szCs w:val="28"/>
        </w:rPr>
      </w:pPr>
    </w:p>
    <w:p w14:paraId="1BA1B71E">
      <w:pPr>
        <w:spacing w:line="360" w:lineRule="auto"/>
        <w:jc w:val="center"/>
        <w:rPr>
          <w:rFonts w:hint="eastAsia" w:ascii="黑体" w:hAnsi="黑体" w:eastAsia="黑体" w:cs="仿宋"/>
          <w:b/>
          <w:kern w:val="0"/>
          <w:sz w:val="44"/>
          <w:szCs w:val="44"/>
        </w:rPr>
      </w:pPr>
      <w:r>
        <w:rPr>
          <w:rFonts w:hint="eastAsia" w:ascii="黑体" w:hAnsi="黑体" w:eastAsia="黑体" w:cs="仿宋"/>
          <w:b/>
          <w:kern w:val="0"/>
          <w:sz w:val="44"/>
          <w:szCs w:val="44"/>
        </w:rPr>
        <w:t>（仅供参考）具体以签订合同为准</w:t>
      </w:r>
    </w:p>
    <w:p w14:paraId="25FAC92D">
      <w:pPr>
        <w:spacing w:line="360" w:lineRule="auto"/>
        <w:ind w:firstLine="560" w:firstLineChars="200"/>
        <w:jc w:val="center"/>
        <w:rPr>
          <w:rFonts w:hint="eastAsia" w:asciiTheme="minorEastAsia" w:hAnsiTheme="minorEastAsia"/>
          <w:sz w:val="28"/>
          <w:szCs w:val="28"/>
        </w:rPr>
      </w:pPr>
    </w:p>
    <w:p w14:paraId="21047D92">
      <w:pPr>
        <w:spacing w:line="360" w:lineRule="auto"/>
        <w:ind w:firstLine="560" w:firstLineChars="200"/>
        <w:jc w:val="center"/>
        <w:rPr>
          <w:rFonts w:hint="eastAsia" w:asciiTheme="minorEastAsia" w:hAnsiTheme="minorEastAsia"/>
          <w:sz w:val="28"/>
          <w:szCs w:val="28"/>
        </w:rPr>
      </w:pPr>
    </w:p>
    <w:p w14:paraId="445202AF">
      <w:pPr>
        <w:spacing w:line="360" w:lineRule="auto"/>
        <w:ind w:firstLine="560" w:firstLineChars="200"/>
        <w:jc w:val="center"/>
        <w:rPr>
          <w:rFonts w:hint="eastAsia" w:asciiTheme="minorEastAsia" w:hAnsiTheme="minorEastAsia"/>
          <w:sz w:val="28"/>
          <w:szCs w:val="28"/>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5387"/>
      </w:tblGrid>
      <w:tr w14:paraId="4133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079" w:type="dxa"/>
            <w:vAlign w:val="bottom"/>
          </w:tcPr>
          <w:p w14:paraId="193DD9B4">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项目名称</w:t>
            </w:r>
          </w:p>
        </w:tc>
        <w:tc>
          <w:tcPr>
            <w:tcW w:w="5387" w:type="dxa"/>
            <w:vAlign w:val="bottom"/>
          </w:tcPr>
          <w:p w14:paraId="74D597F8">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项目</w:t>
            </w:r>
          </w:p>
        </w:tc>
      </w:tr>
      <w:tr w14:paraId="7642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001E7001">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2ABB80A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r>
      <w:tr w14:paraId="4BD3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666BAF84">
            <w:pPr>
              <w:widowControl/>
              <w:adjustRightInd w:val="0"/>
              <w:snapToGrid w:val="0"/>
              <w:spacing w:line="240" w:lineRule="atLeast"/>
              <w:jc w:val="center"/>
              <w:rPr>
                <w:rFonts w:ascii="Arial" w:hAnsi="Arial" w:eastAsia="黑体" w:cs="Arial"/>
                <w:bCs/>
                <w:kern w:val="0"/>
                <w:sz w:val="28"/>
                <w:szCs w:val="28"/>
              </w:rPr>
            </w:pPr>
            <w:r>
              <w:rPr>
                <w:rFonts w:ascii="Arial" w:hAnsi="Arial" w:eastAsia="黑体" w:cs="Arial"/>
                <w:bCs/>
                <w:kern w:val="0"/>
                <w:sz w:val="28"/>
                <w:szCs w:val="28"/>
              </w:rPr>
              <w:t>合同编号</w:t>
            </w:r>
          </w:p>
        </w:tc>
        <w:tc>
          <w:tcPr>
            <w:tcW w:w="5387" w:type="dxa"/>
            <w:vAlign w:val="bottom"/>
          </w:tcPr>
          <w:p w14:paraId="4C39432E">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w:t>
            </w:r>
            <w:r>
              <w:rPr>
                <w:rFonts w:hint="eastAsia" w:ascii="Arial" w:hAnsi="Arial" w:eastAsia="黑体" w:cs="Arial"/>
                <w:bCs/>
                <w:kern w:val="0"/>
                <w:sz w:val="28"/>
                <w:szCs w:val="28"/>
                <w:lang w:val="en-GB"/>
              </w:rPr>
              <w:t>乙</w:t>
            </w:r>
            <w:r>
              <w:rPr>
                <w:rFonts w:ascii="Arial" w:hAnsi="Arial" w:eastAsia="黑体" w:cs="Arial"/>
                <w:bCs/>
                <w:kern w:val="0"/>
                <w:sz w:val="28"/>
                <w:szCs w:val="28"/>
                <w:lang w:val="en-GB"/>
              </w:rPr>
              <w:t>方）</w:t>
            </w:r>
          </w:p>
        </w:tc>
      </w:tr>
      <w:tr w14:paraId="5EC7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79FD4A44">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甲</w:t>
            </w:r>
            <w:r>
              <w:rPr>
                <w:rFonts w:ascii="Arial" w:hAnsi="Arial" w:eastAsia="黑体" w:cs="Arial"/>
                <w:bCs/>
                <w:kern w:val="0"/>
                <w:sz w:val="28"/>
                <w:szCs w:val="28"/>
                <w:lang w:val="en-GB"/>
              </w:rPr>
              <w:t>方</w:t>
            </w:r>
          </w:p>
        </w:tc>
        <w:tc>
          <w:tcPr>
            <w:tcW w:w="5387" w:type="dxa"/>
            <w:vAlign w:val="bottom"/>
          </w:tcPr>
          <w:p w14:paraId="05170280">
            <w:pPr>
              <w:widowControl/>
              <w:adjustRightInd w:val="0"/>
              <w:snapToGrid w:val="0"/>
              <w:spacing w:line="240" w:lineRule="atLeast"/>
              <w:rPr>
                <w:rFonts w:ascii="Arial" w:hAnsi="Arial" w:eastAsia="黑体" w:cs="Arial"/>
                <w:bCs/>
                <w:kern w:val="0"/>
                <w:sz w:val="28"/>
                <w:szCs w:val="28"/>
                <w:lang w:val="en-GB"/>
              </w:rPr>
            </w:pPr>
            <w:r>
              <w:rPr>
                <w:rFonts w:hint="eastAsia" w:ascii="Arial" w:hAnsi="Arial" w:eastAsia="黑体" w:cs="Arial"/>
                <w:bCs/>
                <w:kern w:val="0"/>
                <w:sz w:val="28"/>
                <w:szCs w:val="28"/>
                <w:lang w:val="en-GB"/>
              </w:rPr>
              <w:t>***********</w:t>
            </w:r>
            <w:r>
              <w:rPr>
                <w:rFonts w:ascii="Arial" w:hAnsi="Arial" w:eastAsia="黑体" w:cs="Arial"/>
                <w:bCs/>
                <w:kern w:val="0"/>
                <w:sz w:val="28"/>
                <w:szCs w:val="28"/>
                <w:lang w:val="en-GB"/>
              </w:rPr>
              <w:t>有限公司</w:t>
            </w:r>
          </w:p>
        </w:tc>
      </w:tr>
      <w:tr w14:paraId="762D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2AC316FA">
            <w:pPr>
              <w:widowControl/>
              <w:adjustRightInd w:val="0"/>
              <w:snapToGrid w:val="0"/>
              <w:spacing w:line="240" w:lineRule="atLeast"/>
              <w:jc w:val="center"/>
              <w:rPr>
                <w:rFonts w:ascii="Arial" w:hAnsi="Arial" w:eastAsia="黑体" w:cs="Arial"/>
                <w:bCs/>
                <w:kern w:val="0"/>
                <w:sz w:val="28"/>
                <w:szCs w:val="28"/>
                <w:lang w:val="en-GB"/>
              </w:rPr>
            </w:pPr>
            <w:r>
              <w:rPr>
                <w:rFonts w:hint="eastAsia" w:ascii="Arial" w:hAnsi="Arial" w:eastAsia="黑体" w:cs="Arial"/>
                <w:bCs/>
                <w:kern w:val="0"/>
                <w:sz w:val="28"/>
                <w:szCs w:val="28"/>
                <w:lang w:val="en-GB"/>
              </w:rPr>
              <w:t>乙方</w:t>
            </w:r>
          </w:p>
        </w:tc>
        <w:tc>
          <w:tcPr>
            <w:tcW w:w="5387" w:type="dxa"/>
            <w:vAlign w:val="bottom"/>
          </w:tcPr>
          <w:p w14:paraId="19553DBA">
            <w:pPr>
              <w:widowControl/>
              <w:adjustRightInd w:val="0"/>
              <w:snapToGrid w:val="0"/>
              <w:spacing w:line="240" w:lineRule="atLeast"/>
              <w:rPr>
                <w:rFonts w:ascii="Arial" w:hAnsi="Arial" w:eastAsia="黑体" w:cs="Arial"/>
                <w:bCs/>
                <w:kern w:val="0"/>
                <w:sz w:val="28"/>
                <w:szCs w:val="28"/>
              </w:rPr>
            </w:pPr>
          </w:p>
        </w:tc>
      </w:tr>
      <w:tr w14:paraId="4944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7CF9946">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签订时间</w:t>
            </w:r>
          </w:p>
        </w:tc>
        <w:tc>
          <w:tcPr>
            <w:tcW w:w="5387" w:type="dxa"/>
            <w:vAlign w:val="bottom"/>
          </w:tcPr>
          <w:p w14:paraId="5237FF26">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202</w:t>
            </w:r>
            <w:r>
              <w:rPr>
                <w:rFonts w:hint="eastAsia" w:ascii="Arial" w:hAnsi="Arial" w:eastAsia="黑体" w:cs="Arial"/>
                <w:bCs/>
                <w:kern w:val="0"/>
                <w:sz w:val="28"/>
                <w:szCs w:val="28"/>
                <w:lang w:val="en-GB"/>
              </w:rPr>
              <w:t>5</w:t>
            </w:r>
            <w:r>
              <w:rPr>
                <w:rFonts w:ascii="Arial" w:hAnsi="Arial" w:eastAsia="黑体" w:cs="Arial"/>
                <w:bCs/>
                <w:kern w:val="0"/>
                <w:sz w:val="28"/>
                <w:szCs w:val="28"/>
                <w:lang w:val="en-GB"/>
              </w:rPr>
              <w:t>年</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月</w:t>
            </w:r>
            <w:r>
              <w:rPr>
                <w:rFonts w:hint="eastAsia" w:ascii="Arial" w:hAnsi="Arial" w:eastAsia="黑体" w:cs="Arial"/>
                <w:bCs/>
                <w:kern w:val="0"/>
                <w:sz w:val="28"/>
                <w:szCs w:val="28"/>
              </w:rPr>
              <w:t xml:space="preserve">  </w:t>
            </w:r>
            <w:r>
              <w:rPr>
                <w:rFonts w:ascii="Arial" w:hAnsi="Arial" w:eastAsia="黑体" w:cs="Arial"/>
                <w:bCs/>
                <w:kern w:val="0"/>
                <w:sz w:val="28"/>
                <w:szCs w:val="28"/>
                <w:lang w:val="en-GB"/>
              </w:rPr>
              <w:t>日</w:t>
            </w:r>
          </w:p>
        </w:tc>
      </w:tr>
      <w:tr w14:paraId="697FF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vAlign w:val="bottom"/>
          </w:tcPr>
          <w:p w14:paraId="5AF73C7F">
            <w:pPr>
              <w:widowControl/>
              <w:adjustRightInd w:val="0"/>
              <w:snapToGrid w:val="0"/>
              <w:spacing w:line="240" w:lineRule="atLeast"/>
              <w:jc w:val="center"/>
              <w:rPr>
                <w:rFonts w:ascii="Arial" w:hAnsi="Arial" w:eastAsia="黑体" w:cs="Arial"/>
                <w:bCs/>
                <w:kern w:val="0"/>
                <w:sz w:val="28"/>
                <w:szCs w:val="28"/>
                <w:lang w:val="en-GB"/>
              </w:rPr>
            </w:pPr>
            <w:r>
              <w:rPr>
                <w:rFonts w:ascii="Arial" w:hAnsi="Arial" w:eastAsia="黑体" w:cs="Arial"/>
                <w:bCs/>
                <w:kern w:val="0"/>
                <w:sz w:val="28"/>
                <w:szCs w:val="28"/>
                <w:lang w:val="en-GB"/>
              </w:rPr>
              <w:t>签订地点</w:t>
            </w:r>
          </w:p>
        </w:tc>
        <w:tc>
          <w:tcPr>
            <w:tcW w:w="5387" w:type="dxa"/>
            <w:vAlign w:val="bottom"/>
          </w:tcPr>
          <w:p w14:paraId="59D8B40B">
            <w:pPr>
              <w:widowControl/>
              <w:adjustRightInd w:val="0"/>
              <w:snapToGrid w:val="0"/>
              <w:spacing w:line="240" w:lineRule="atLeast"/>
              <w:rPr>
                <w:rFonts w:ascii="Arial" w:hAnsi="Arial" w:eastAsia="黑体" w:cs="Arial"/>
                <w:bCs/>
                <w:kern w:val="0"/>
                <w:sz w:val="28"/>
                <w:szCs w:val="28"/>
                <w:lang w:val="en-GB"/>
              </w:rPr>
            </w:pPr>
            <w:r>
              <w:rPr>
                <w:rFonts w:ascii="Arial" w:hAnsi="Arial" w:eastAsia="黑体" w:cs="Arial"/>
                <w:bCs/>
                <w:kern w:val="0"/>
                <w:sz w:val="28"/>
                <w:szCs w:val="28"/>
                <w:lang w:val="en-GB"/>
              </w:rPr>
              <w:t>河南省.洛阳市.新安县</w:t>
            </w:r>
          </w:p>
        </w:tc>
      </w:tr>
    </w:tbl>
    <w:p w14:paraId="6D34394E">
      <w:pPr>
        <w:spacing w:line="360" w:lineRule="auto"/>
        <w:ind w:firstLine="560" w:firstLineChars="200"/>
        <w:jc w:val="center"/>
        <w:rPr>
          <w:rFonts w:hint="eastAsia" w:asciiTheme="minorEastAsia" w:hAnsiTheme="minorEastAsia"/>
          <w:sz w:val="28"/>
          <w:szCs w:val="28"/>
        </w:rPr>
      </w:pPr>
    </w:p>
    <w:p w14:paraId="078751E9">
      <w:pPr>
        <w:spacing w:line="360" w:lineRule="auto"/>
        <w:ind w:firstLine="560" w:firstLineChars="200"/>
        <w:jc w:val="center"/>
        <w:rPr>
          <w:rFonts w:hint="eastAsia" w:asciiTheme="minorEastAsia" w:hAnsiTheme="minorEastAsia"/>
          <w:sz w:val="28"/>
          <w:szCs w:val="28"/>
        </w:rPr>
      </w:pPr>
    </w:p>
    <w:p w14:paraId="6D5E12C3">
      <w:pPr>
        <w:spacing w:line="360" w:lineRule="auto"/>
        <w:ind w:firstLine="560" w:firstLineChars="200"/>
        <w:jc w:val="center"/>
        <w:rPr>
          <w:rFonts w:hint="eastAsia" w:asciiTheme="minorEastAsia" w:hAnsiTheme="minorEastAsia"/>
          <w:sz w:val="28"/>
          <w:szCs w:val="28"/>
        </w:rPr>
      </w:pPr>
    </w:p>
    <w:p w14:paraId="4D02A8BE">
      <w:pPr>
        <w:spacing w:line="360" w:lineRule="auto"/>
        <w:ind w:firstLine="560" w:firstLineChars="200"/>
        <w:jc w:val="center"/>
        <w:rPr>
          <w:rFonts w:hint="eastAsia" w:asciiTheme="minorEastAsia" w:hAnsiTheme="minorEastAsia"/>
          <w:sz w:val="28"/>
          <w:szCs w:val="28"/>
        </w:rPr>
      </w:pPr>
    </w:p>
    <w:p w14:paraId="7A105C0F">
      <w:pPr>
        <w:spacing w:line="360" w:lineRule="auto"/>
        <w:ind w:firstLine="560" w:firstLineChars="200"/>
        <w:jc w:val="center"/>
        <w:rPr>
          <w:rFonts w:hint="eastAsia" w:asciiTheme="minorEastAsia" w:hAnsiTheme="minorEastAsia"/>
          <w:sz w:val="28"/>
          <w:szCs w:val="28"/>
        </w:rPr>
      </w:pPr>
    </w:p>
    <w:p w14:paraId="60A89FE3">
      <w:pPr>
        <w:spacing w:line="360" w:lineRule="auto"/>
        <w:ind w:firstLine="560" w:firstLineChars="200"/>
        <w:jc w:val="center"/>
        <w:rPr>
          <w:rFonts w:hint="eastAsia" w:asciiTheme="minorEastAsia" w:hAnsiTheme="minorEastAsia"/>
          <w:sz w:val="28"/>
          <w:szCs w:val="28"/>
        </w:rPr>
      </w:pPr>
    </w:p>
    <w:p w14:paraId="400AABCB">
      <w:pPr>
        <w:spacing w:line="360" w:lineRule="auto"/>
        <w:ind w:firstLine="560" w:firstLineChars="200"/>
        <w:jc w:val="center"/>
        <w:rPr>
          <w:rFonts w:hint="eastAsia" w:asciiTheme="minorEastAsia" w:hAnsiTheme="minorEastAsia"/>
          <w:sz w:val="28"/>
          <w:szCs w:val="28"/>
        </w:rPr>
      </w:pPr>
    </w:p>
    <w:p w14:paraId="12D7F5B2">
      <w:pPr>
        <w:widowControl/>
        <w:snapToGrid w:val="0"/>
        <w:spacing w:line="240" w:lineRule="atLeast"/>
        <w:ind w:firstLine="480" w:firstLineChars="200"/>
        <w:contextualSpacing/>
        <w:rPr>
          <w:rFonts w:hint="eastAsia" w:ascii="仿宋" w:hAnsi="仿宋" w:eastAsia="仿宋"/>
          <w:sz w:val="24"/>
          <w:szCs w:val="24"/>
        </w:rPr>
      </w:pPr>
    </w:p>
    <w:p w14:paraId="211D113B">
      <w:pPr>
        <w:widowControl/>
        <w:snapToGrid w:val="0"/>
        <w:spacing w:line="240" w:lineRule="atLeast"/>
        <w:ind w:firstLine="480" w:firstLineChars="200"/>
        <w:contextualSpacing/>
        <w:rPr>
          <w:rFonts w:hint="eastAsia" w:ascii="仿宋" w:hAnsi="仿宋" w:eastAsia="仿宋"/>
          <w:sz w:val="24"/>
          <w:szCs w:val="24"/>
        </w:rPr>
      </w:pPr>
    </w:p>
    <w:p w14:paraId="746D6CE6">
      <w:pPr>
        <w:widowControl/>
        <w:snapToGrid w:val="0"/>
        <w:spacing w:line="240" w:lineRule="atLeast"/>
        <w:ind w:firstLine="480" w:firstLineChars="200"/>
        <w:contextualSpacing/>
        <w:rPr>
          <w:rFonts w:hint="eastAsia" w:ascii="仿宋" w:hAnsi="仿宋" w:eastAsia="仿宋"/>
          <w:sz w:val="24"/>
          <w:szCs w:val="24"/>
        </w:rPr>
      </w:pPr>
      <w:r>
        <w:rPr>
          <w:rFonts w:hint="eastAsia" w:ascii="仿宋" w:hAnsi="仿宋" w:eastAsia="仿宋"/>
          <w:sz w:val="24"/>
          <w:szCs w:val="24"/>
        </w:rPr>
        <w:t>甲方**************有限公司在***********购买等相关事宜，</w:t>
      </w:r>
      <w:r>
        <w:rPr>
          <w:rFonts w:ascii="Arial" w:hAnsi="Arial" w:eastAsia="仿宋" w:cs="Arial"/>
          <w:sz w:val="24"/>
          <w:szCs w:val="24"/>
        </w:rPr>
        <w:t>依据万基编号为WJWZ-(202</w:t>
      </w:r>
      <w:r>
        <w:rPr>
          <w:rFonts w:hint="eastAsia" w:ascii="Arial" w:hAnsi="Arial" w:eastAsia="仿宋" w:cs="Arial"/>
          <w:sz w:val="24"/>
          <w:szCs w:val="24"/>
        </w:rPr>
        <w:t>5</w:t>
      </w:r>
      <w:r>
        <w:rPr>
          <w:rFonts w:ascii="Arial" w:hAnsi="Arial" w:eastAsia="仿宋" w:cs="Arial"/>
          <w:sz w:val="24"/>
          <w:szCs w:val="24"/>
        </w:rPr>
        <w:t>)</w:t>
      </w:r>
      <w:r>
        <w:rPr>
          <w:rFonts w:hint="eastAsia" w:ascii="Arial" w:hAnsi="Arial" w:eastAsia="仿宋" w:cs="Arial"/>
          <w:sz w:val="24"/>
          <w:szCs w:val="24"/>
          <w:u w:val="single"/>
        </w:rPr>
        <w:t xml:space="preserve">    </w:t>
      </w:r>
      <w:r>
        <w:rPr>
          <w:rFonts w:ascii="Arial" w:hAnsi="Arial" w:eastAsia="仿宋" w:cs="Arial"/>
          <w:sz w:val="24"/>
          <w:szCs w:val="24"/>
        </w:rPr>
        <w:t>的中标通知书</w:t>
      </w:r>
      <w:r>
        <w:rPr>
          <w:rFonts w:hint="eastAsia" w:ascii="仿宋" w:hAnsi="仿宋" w:eastAsia="仿宋"/>
          <w:sz w:val="24"/>
          <w:szCs w:val="24"/>
        </w:rPr>
        <w:t xml:space="preserve">，买卖双方本着平等互利的原则，经友好协商，同意按如下条款签订本合同。  </w:t>
      </w:r>
    </w:p>
    <w:p w14:paraId="24F7B1D0">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4D6D2E96">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条款1定义</w:t>
      </w:r>
    </w:p>
    <w:p w14:paraId="70A108E8">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“合同”指甲方和乙方（以下简称合同双方）已达成的协议，即由双方签订的合同中的文件，包括技术协议、所有的附件、附录和组成合同部分的所有其它文件。</w:t>
      </w:r>
    </w:p>
    <w:p w14:paraId="6CDF9301">
      <w:pPr>
        <w:pStyle w:val="80"/>
        <w:numPr>
          <w:ilvl w:val="0"/>
          <w:numId w:val="3"/>
        </w:numPr>
        <w:snapToGrid w:val="0"/>
        <w:spacing w:line="240" w:lineRule="atLeast"/>
        <w:ind w:left="567" w:hanging="567" w:firstLineChars="0"/>
        <w:contextualSpacing/>
        <w:jc w:val="left"/>
        <w:rPr>
          <w:rFonts w:hint="eastAsia" w:ascii="仿宋" w:hAnsi="仿宋" w:eastAsia="仿宋"/>
          <w:sz w:val="24"/>
          <w:szCs w:val="24"/>
        </w:rPr>
      </w:pPr>
      <w:r>
        <w:rPr>
          <w:rFonts w:hint="eastAsia" w:ascii="仿宋" w:hAnsi="仿宋" w:eastAsia="仿宋"/>
          <w:sz w:val="24"/>
          <w:szCs w:val="24"/>
        </w:rPr>
        <w:t>“合同价格”指合同规定，在乙方全面正确的履行合同义务时甲方应支付给乙方的款项。</w:t>
      </w:r>
    </w:p>
    <w:p w14:paraId="58178EC3">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“设备”指乙方按合同要求，须向甲方提供的一切设备、机械、手册及其它技术资料和其它材料。</w:t>
      </w:r>
    </w:p>
    <w:p w14:paraId="1ACCC35B">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“服务”指合同规定乙方须承担的安装、调试、技术协助、校准、培训以及其它类似的售后服务义务。</w:t>
      </w:r>
    </w:p>
    <w:p w14:paraId="3C6F3ED8">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“现场”指将要进行设备安装和运转的地点，即：**********。</w:t>
      </w:r>
    </w:p>
    <w:p w14:paraId="12CAB492">
      <w:pPr>
        <w:pStyle w:val="80"/>
        <w:numPr>
          <w:ilvl w:val="0"/>
          <w:numId w:val="3"/>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“验收”指甲方依据合同所附技术协议的规定接受合同设备所依据的程序和条件。</w:t>
      </w:r>
    </w:p>
    <w:p w14:paraId="057DFF30">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4DB3861D">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条款2供货范围</w:t>
      </w:r>
    </w:p>
    <w:p w14:paraId="7B2CF0C8">
      <w:pPr>
        <w:pStyle w:val="80"/>
        <w:numPr>
          <w:ilvl w:val="0"/>
          <w:numId w:val="4"/>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标的物：**************。</w:t>
      </w:r>
    </w:p>
    <w:p w14:paraId="061E183A">
      <w:pPr>
        <w:pStyle w:val="80"/>
        <w:numPr>
          <w:ilvl w:val="0"/>
          <w:numId w:val="4"/>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供货范围：详见技术协议。</w:t>
      </w:r>
    </w:p>
    <w:p w14:paraId="4B942E61">
      <w:pPr>
        <w:pStyle w:val="80"/>
        <w:numPr>
          <w:ilvl w:val="0"/>
          <w:numId w:val="4"/>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数量：详见技术协议。</w:t>
      </w:r>
    </w:p>
    <w:p w14:paraId="0EC419C1">
      <w:pPr>
        <w:pStyle w:val="80"/>
        <w:numPr>
          <w:ilvl w:val="0"/>
          <w:numId w:val="4"/>
        </w:numPr>
        <w:snapToGrid w:val="0"/>
        <w:spacing w:line="240" w:lineRule="atLeast"/>
        <w:ind w:left="567" w:hanging="567" w:firstLineChars="0"/>
        <w:contextualSpacing/>
        <w:rPr>
          <w:rFonts w:hint="eastAsia" w:ascii="仿宋" w:hAnsi="仿宋" w:eastAsia="仿宋"/>
          <w:sz w:val="24"/>
          <w:szCs w:val="24"/>
        </w:rPr>
      </w:pPr>
      <w:r>
        <w:rPr>
          <w:rFonts w:hint="eastAsia" w:ascii="仿宋" w:hAnsi="仿宋" w:eastAsia="仿宋"/>
          <w:sz w:val="24"/>
          <w:szCs w:val="24"/>
        </w:rPr>
        <w:t>合同供货范围虽然在合同中有表述，但在执行过程中如发现有任何漏项和缺陷，在合同中并未列入而且确实是供货范围内应该有的并且是为了满足合同技术协议对合同设备的性能保证要求所必须的，是国家强制性要求必须的，均应由乙方负责将所缺的设备补上，所发生的费用由乙方负担。</w:t>
      </w:r>
    </w:p>
    <w:p w14:paraId="141CC4C7">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2EB5BA9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条款3价格（</w:t>
      </w:r>
      <w:r>
        <w:rPr>
          <w:rFonts w:hint="eastAsia" w:ascii="仿宋" w:hAnsi="仿宋" w:eastAsia="仿宋"/>
          <w:b/>
          <w:color w:val="C00000"/>
          <w:sz w:val="28"/>
          <w:szCs w:val="28"/>
        </w:rPr>
        <w:t>报价格式以后附表为准</w:t>
      </w:r>
      <w:r>
        <w:rPr>
          <w:rFonts w:hint="eastAsia" w:ascii="仿宋" w:hAnsi="仿宋" w:eastAsia="仿宋"/>
          <w:b/>
          <w:sz w:val="24"/>
          <w:szCs w:val="24"/>
        </w:rPr>
        <w:t>）</w:t>
      </w:r>
    </w:p>
    <w:p w14:paraId="0CC42AD2">
      <w:pPr>
        <w:pStyle w:val="80"/>
        <w:numPr>
          <w:ilvl w:val="0"/>
          <w:numId w:val="5"/>
        </w:numPr>
        <w:spacing w:line="240" w:lineRule="atLeast"/>
        <w:ind w:left="567" w:hanging="567" w:firstLineChars="0"/>
        <w:rPr>
          <w:rFonts w:hint="eastAsia" w:asciiTheme="minorEastAsia" w:hAnsiTheme="minorEastAsia"/>
          <w:sz w:val="24"/>
          <w:szCs w:val="24"/>
        </w:rPr>
      </w:pPr>
      <w:r>
        <w:rPr>
          <w:rFonts w:hint="eastAsia" w:ascii="仿宋" w:hAnsi="仿宋" w:eastAsia="仿宋"/>
          <w:sz w:val="24"/>
          <w:szCs w:val="24"/>
        </w:rPr>
        <w:t>设备名称、型号及价格</w:t>
      </w:r>
      <w:r>
        <w:rPr>
          <w:rFonts w:hint="eastAsia" w:asciiTheme="minorEastAsia" w:hAnsiTheme="minorEastAsia"/>
          <w:sz w:val="24"/>
          <w:szCs w:val="24"/>
        </w:rPr>
        <w:t>：</w:t>
      </w:r>
    </w:p>
    <w:tbl>
      <w:tblPr>
        <w:tblStyle w:val="51"/>
        <w:tblW w:w="9027" w:type="dxa"/>
        <w:jc w:val="center"/>
        <w:tblLayout w:type="autofit"/>
        <w:tblCellMar>
          <w:top w:w="0" w:type="dxa"/>
          <w:left w:w="108" w:type="dxa"/>
          <w:bottom w:w="0" w:type="dxa"/>
          <w:right w:w="108" w:type="dxa"/>
        </w:tblCellMar>
      </w:tblPr>
      <w:tblGrid>
        <w:gridCol w:w="835"/>
        <w:gridCol w:w="3129"/>
        <w:gridCol w:w="709"/>
        <w:gridCol w:w="709"/>
        <w:gridCol w:w="1143"/>
        <w:gridCol w:w="1143"/>
        <w:gridCol w:w="1359"/>
      </w:tblGrid>
      <w:tr w14:paraId="368236AE">
        <w:tblPrEx>
          <w:tblCellMar>
            <w:top w:w="0" w:type="dxa"/>
            <w:left w:w="108" w:type="dxa"/>
            <w:bottom w:w="0" w:type="dxa"/>
            <w:right w:w="108" w:type="dxa"/>
          </w:tblCellMar>
        </w:tblPrEx>
        <w:trPr>
          <w:trHeight w:val="416" w:hRule="atLeast"/>
          <w:jc w:val="center"/>
        </w:trPr>
        <w:tc>
          <w:tcPr>
            <w:tcW w:w="9027" w:type="dxa"/>
            <w:gridSpan w:val="7"/>
            <w:tcBorders>
              <w:top w:val="single" w:color="auto" w:sz="4" w:space="0"/>
              <w:left w:val="single" w:color="auto" w:sz="4" w:space="0"/>
              <w:bottom w:val="single" w:color="auto" w:sz="4" w:space="0"/>
              <w:right w:val="single" w:color="auto" w:sz="4" w:space="0"/>
            </w:tcBorders>
            <w:shd w:val="clear" w:color="000000" w:fill="FFFFFF"/>
            <w:noWrap/>
            <w:vAlign w:val="center"/>
          </w:tcPr>
          <w:p w14:paraId="5CAB6658">
            <w:pPr>
              <w:widowControl/>
              <w:spacing w:line="240" w:lineRule="atLeast"/>
              <w:contextualSpacing/>
              <w:jc w:val="center"/>
              <w:rPr>
                <w:rFonts w:hint="eastAsia" w:ascii="黑体" w:hAnsi="黑体" w:eastAsia="黑体" w:cs="宋体"/>
                <w:kern w:val="0"/>
                <w:sz w:val="24"/>
                <w:szCs w:val="24"/>
              </w:rPr>
            </w:pPr>
            <w:r>
              <w:rPr>
                <w:rFonts w:hint="eastAsia" w:ascii="黑体" w:hAnsi="黑体" w:eastAsia="黑体" w:cs="宋体"/>
                <w:kern w:val="0"/>
                <w:sz w:val="24"/>
                <w:szCs w:val="24"/>
              </w:rPr>
              <w:t xml:space="preserve">************项价格表  </w:t>
            </w:r>
          </w:p>
        </w:tc>
      </w:tr>
      <w:tr w14:paraId="63F80E18">
        <w:tblPrEx>
          <w:tblCellMar>
            <w:top w:w="0" w:type="dxa"/>
            <w:left w:w="108" w:type="dxa"/>
            <w:bottom w:w="0" w:type="dxa"/>
            <w:right w:w="108" w:type="dxa"/>
          </w:tblCellMar>
        </w:tblPrEx>
        <w:trPr>
          <w:trHeight w:val="48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center"/>
          </w:tcPr>
          <w:p w14:paraId="3C787C97">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序号</w:t>
            </w:r>
          </w:p>
        </w:tc>
        <w:tc>
          <w:tcPr>
            <w:tcW w:w="3129" w:type="dxa"/>
            <w:tcBorders>
              <w:top w:val="nil"/>
              <w:left w:val="nil"/>
              <w:bottom w:val="single" w:color="auto" w:sz="4" w:space="0"/>
              <w:right w:val="single" w:color="auto" w:sz="4" w:space="0"/>
            </w:tcBorders>
            <w:shd w:val="clear" w:color="auto" w:fill="auto"/>
            <w:noWrap/>
            <w:vAlign w:val="center"/>
          </w:tcPr>
          <w:p w14:paraId="75507C5A">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设备名称</w:t>
            </w:r>
          </w:p>
        </w:tc>
        <w:tc>
          <w:tcPr>
            <w:tcW w:w="709" w:type="dxa"/>
            <w:tcBorders>
              <w:top w:val="nil"/>
              <w:left w:val="nil"/>
              <w:bottom w:val="single" w:color="auto" w:sz="4" w:space="0"/>
              <w:right w:val="single" w:color="auto" w:sz="4" w:space="0"/>
            </w:tcBorders>
            <w:shd w:val="clear" w:color="auto" w:fill="auto"/>
            <w:vAlign w:val="center"/>
          </w:tcPr>
          <w:p w14:paraId="2BBF7E2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数量</w:t>
            </w:r>
          </w:p>
        </w:tc>
        <w:tc>
          <w:tcPr>
            <w:tcW w:w="709" w:type="dxa"/>
            <w:tcBorders>
              <w:top w:val="nil"/>
              <w:left w:val="nil"/>
              <w:bottom w:val="single" w:color="auto" w:sz="4" w:space="0"/>
              <w:right w:val="single" w:color="auto" w:sz="4" w:space="0"/>
            </w:tcBorders>
            <w:shd w:val="clear" w:color="auto" w:fill="auto"/>
            <w:vAlign w:val="center"/>
          </w:tcPr>
          <w:p w14:paraId="6C58A3B8">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单位</w:t>
            </w:r>
          </w:p>
        </w:tc>
        <w:tc>
          <w:tcPr>
            <w:tcW w:w="1143" w:type="dxa"/>
            <w:tcBorders>
              <w:top w:val="nil"/>
              <w:left w:val="nil"/>
              <w:bottom w:val="single" w:color="auto" w:sz="4" w:space="0"/>
              <w:right w:val="single" w:color="auto" w:sz="4" w:space="0"/>
            </w:tcBorders>
            <w:shd w:val="clear" w:color="auto" w:fill="auto"/>
            <w:vAlign w:val="center"/>
          </w:tcPr>
          <w:p w14:paraId="1F8DB119">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单价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143" w:type="dxa"/>
            <w:tcBorders>
              <w:top w:val="nil"/>
              <w:left w:val="nil"/>
              <w:bottom w:val="single" w:color="auto" w:sz="4" w:space="0"/>
              <w:right w:val="single" w:color="auto" w:sz="4" w:space="0"/>
            </w:tcBorders>
            <w:shd w:val="clear" w:color="auto" w:fill="auto"/>
            <w:vAlign w:val="center"/>
          </w:tcPr>
          <w:p w14:paraId="19CFCB40">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总价</w:t>
            </w:r>
            <w:r>
              <w:rPr>
                <w:rFonts w:hint="eastAsia" w:ascii="黑体" w:hAnsi="黑体" w:eastAsia="黑体" w:cs="宋体"/>
                <w:kern w:val="0"/>
                <w:sz w:val="20"/>
              </w:rPr>
              <w:br w:type="textWrapping"/>
            </w:r>
            <w:r>
              <w:rPr>
                <w:rFonts w:hint="eastAsia" w:ascii="黑体" w:hAnsi="黑体" w:eastAsia="黑体" w:cs="宋体"/>
                <w:kern w:val="0"/>
                <w:sz w:val="20"/>
              </w:rPr>
              <w:t>（万元）</w:t>
            </w:r>
          </w:p>
        </w:tc>
        <w:tc>
          <w:tcPr>
            <w:tcW w:w="1359" w:type="dxa"/>
            <w:tcBorders>
              <w:top w:val="nil"/>
              <w:left w:val="nil"/>
              <w:bottom w:val="single" w:color="auto" w:sz="4" w:space="0"/>
              <w:right w:val="single" w:color="auto" w:sz="4" w:space="0"/>
            </w:tcBorders>
            <w:shd w:val="clear" w:color="auto" w:fill="auto"/>
            <w:noWrap/>
            <w:vAlign w:val="center"/>
          </w:tcPr>
          <w:p w14:paraId="53B50E72">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备注</w:t>
            </w:r>
          </w:p>
        </w:tc>
      </w:tr>
      <w:tr w14:paraId="7DB44DA4">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3E419106">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w:t>
            </w:r>
          </w:p>
        </w:tc>
        <w:tc>
          <w:tcPr>
            <w:tcW w:w="3129" w:type="dxa"/>
            <w:tcBorders>
              <w:top w:val="nil"/>
              <w:left w:val="nil"/>
              <w:bottom w:val="single" w:color="auto" w:sz="4" w:space="0"/>
              <w:right w:val="single" w:color="auto" w:sz="4" w:space="0"/>
            </w:tcBorders>
            <w:shd w:val="clear" w:color="auto" w:fill="auto"/>
            <w:noWrap/>
            <w:vAlign w:val="bottom"/>
          </w:tcPr>
          <w:p w14:paraId="74657901">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3E015CB">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76B10574">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002B24F6">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1235A18D">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2E8349D5">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5AED49A">
        <w:tblPrEx>
          <w:tblCellMar>
            <w:top w:w="0" w:type="dxa"/>
            <w:left w:w="108" w:type="dxa"/>
            <w:bottom w:w="0" w:type="dxa"/>
            <w:right w:w="108" w:type="dxa"/>
          </w:tblCellMar>
        </w:tblPrEx>
        <w:trPr>
          <w:trHeight w:val="300" w:hRule="atLeast"/>
          <w:jc w:val="center"/>
        </w:trPr>
        <w:tc>
          <w:tcPr>
            <w:tcW w:w="835" w:type="dxa"/>
            <w:tcBorders>
              <w:top w:val="nil"/>
              <w:left w:val="single" w:color="auto" w:sz="4" w:space="0"/>
              <w:bottom w:val="single" w:color="auto" w:sz="4" w:space="0"/>
              <w:right w:val="single" w:color="auto" w:sz="4" w:space="0"/>
            </w:tcBorders>
            <w:shd w:val="clear" w:color="auto" w:fill="auto"/>
            <w:noWrap/>
            <w:vAlign w:val="bottom"/>
          </w:tcPr>
          <w:p w14:paraId="09139A1F">
            <w:pPr>
              <w:widowControl/>
              <w:spacing w:line="240" w:lineRule="atLeast"/>
              <w:contextualSpacing/>
              <w:jc w:val="center"/>
              <w:rPr>
                <w:rFonts w:hint="eastAsia" w:ascii="黑体" w:hAnsi="黑体" w:eastAsia="黑体" w:cs="宋体"/>
                <w:kern w:val="0"/>
                <w:sz w:val="20"/>
              </w:rPr>
            </w:pPr>
            <w:r>
              <w:rPr>
                <w:rFonts w:hint="eastAsia" w:ascii="黑体" w:hAnsi="黑体" w:eastAsia="黑体" w:cs="宋体"/>
                <w:kern w:val="0"/>
                <w:sz w:val="20"/>
              </w:rPr>
              <w:t>1.1</w:t>
            </w:r>
          </w:p>
        </w:tc>
        <w:tc>
          <w:tcPr>
            <w:tcW w:w="3129" w:type="dxa"/>
            <w:tcBorders>
              <w:top w:val="nil"/>
              <w:left w:val="nil"/>
              <w:bottom w:val="single" w:color="auto" w:sz="4" w:space="0"/>
              <w:right w:val="single" w:color="auto" w:sz="4" w:space="0"/>
            </w:tcBorders>
            <w:shd w:val="clear" w:color="auto" w:fill="auto"/>
            <w:noWrap/>
            <w:vAlign w:val="bottom"/>
          </w:tcPr>
          <w:p w14:paraId="500C4F62">
            <w:pPr>
              <w:widowControl/>
              <w:spacing w:line="240" w:lineRule="atLeast"/>
              <w:contextualSpacing/>
              <w:jc w:val="left"/>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034E3E51">
            <w:pPr>
              <w:widowControl/>
              <w:spacing w:line="240" w:lineRule="atLeast"/>
              <w:contextualSpacing/>
              <w:jc w:val="center"/>
              <w:rPr>
                <w:rFonts w:hint="eastAsia" w:ascii="黑体" w:hAnsi="黑体" w:eastAsia="黑体" w:cs="宋体"/>
                <w:kern w:val="0"/>
                <w:sz w:val="20"/>
              </w:rPr>
            </w:pPr>
          </w:p>
        </w:tc>
        <w:tc>
          <w:tcPr>
            <w:tcW w:w="709" w:type="dxa"/>
            <w:tcBorders>
              <w:top w:val="nil"/>
              <w:left w:val="nil"/>
              <w:bottom w:val="single" w:color="auto" w:sz="4" w:space="0"/>
              <w:right w:val="single" w:color="auto" w:sz="4" w:space="0"/>
            </w:tcBorders>
            <w:shd w:val="clear" w:color="auto" w:fill="auto"/>
            <w:noWrap/>
            <w:vAlign w:val="center"/>
          </w:tcPr>
          <w:p w14:paraId="6BB9697D">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vAlign w:val="center"/>
          </w:tcPr>
          <w:p w14:paraId="4310C5DE">
            <w:pPr>
              <w:widowControl/>
              <w:spacing w:line="240" w:lineRule="atLeast"/>
              <w:contextualSpacing/>
              <w:jc w:val="center"/>
              <w:rPr>
                <w:rFonts w:hint="eastAsia" w:ascii="黑体" w:hAnsi="黑体" w:eastAsia="黑体" w:cs="宋体"/>
                <w:kern w:val="0"/>
                <w:sz w:val="20"/>
              </w:rPr>
            </w:pPr>
          </w:p>
        </w:tc>
        <w:tc>
          <w:tcPr>
            <w:tcW w:w="1143" w:type="dxa"/>
            <w:tcBorders>
              <w:top w:val="nil"/>
              <w:left w:val="nil"/>
              <w:bottom w:val="single" w:color="auto" w:sz="4" w:space="0"/>
              <w:right w:val="single" w:color="auto" w:sz="4" w:space="0"/>
            </w:tcBorders>
            <w:shd w:val="clear" w:color="auto" w:fill="auto"/>
            <w:noWrap/>
            <w:vAlign w:val="center"/>
          </w:tcPr>
          <w:p w14:paraId="75839DF4">
            <w:pPr>
              <w:widowControl/>
              <w:spacing w:line="240" w:lineRule="atLeast"/>
              <w:contextualSpacing/>
              <w:jc w:val="center"/>
              <w:rPr>
                <w:rFonts w:hint="eastAsia" w:ascii="黑体" w:hAnsi="黑体" w:eastAsia="黑体" w:cs="宋体"/>
                <w:kern w:val="0"/>
                <w:sz w:val="20"/>
              </w:rPr>
            </w:pPr>
          </w:p>
        </w:tc>
        <w:tc>
          <w:tcPr>
            <w:tcW w:w="1359" w:type="dxa"/>
            <w:tcBorders>
              <w:top w:val="nil"/>
              <w:left w:val="nil"/>
              <w:bottom w:val="single" w:color="auto" w:sz="4" w:space="0"/>
              <w:right w:val="single" w:color="auto" w:sz="4" w:space="0"/>
            </w:tcBorders>
            <w:shd w:val="clear" w:color="auto" w:fill="auto"/>
            <w:vAlign w:val="center"/>
          </w:tcPr>
          <w:p w14:paraId="554F7E58">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w:t>
            </w:r>
          </w:p>
        </w:tc>
      </w:tr>
      <w:tr w14:paraId="638D0267">
        <w:tblPrEx>
          <w:tblCellMar>
            <w:top w:w="0" w:type="dxa"/>
            <w:left w:w="108" w:type="dxa"/>
            <w:bottom w:w="0" w:type="dxa"/>
            <w:right w:w="108" w:type="dxa"/>
          </w:tblCellMar>
        </w:tblPrEx>
        <w:trPr>
          <w:trHeight w:val="30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noWrap/>
            <w:vAlign w:val="bottom"/>
          </w:tcPr>
          <w:p w14:paraId="7F1F0197">
            <w:pPr>
              <w:widowControl/>
              <w:spacing w:line="240" w:lineRule="atLeast"/>
              <w:ind w:firstLine="200" w:firstLineChars="100"/>
              <w:contextualSpacing/>
              <w:jc w:val="left"/>
              <w:rPr>
                <w:rFonts w:hint="eastAsia" w:ascii="黑体" w:hAnsi="黑体" w:eastAsia="黑体" w:cs="宋体"/>
                <w:kern w:val="0"/>
                <w:sz w:val="20"/>
              </w:rPr>
            </w:pPr>
            <w:r>
              <w:rPr>
                <w:rFonts w:hint="eastAsia" w:ascii="黑体" w:hAnsi="黑体" w:eastAsia="黑体" w:cs="宋体"/>
                <w:kern w:val="0"/>
                <w:sz w:val="20"/>
              </w:rPr>
              <w:t>不含税金额：￥：万元       税率：13%       税额：万元</w:t>
            </w:r>
          </w:p>
        </w:tc>
      </w:tr>
      <w:tr w14:paraId="6B40F72E">
        <w:tblPrEx>
          <w:tblCellMar>
            <w:top w:w="0" w:type="dxa"/>
            <w:left w:w="108" w:type="dxa"/>
            <w:bottom w:w="0" w:type="dxa"/>
            <w:right w:w="108" w:type="dxa"/>
          </w:tblCellMar>
        </w:tblPrEx>
        <w:trPr>
          <w:trHeight w:val="240" w:hRule="atLeast"/>
          <w:jc w:val="center"/>
        </w:trPr>
        <w:tc>
          <w:tcPr>
            <w:tcW w:w="9027" w:type="dxa"/>
            <w:gridSpan w:val="7"/>
            <w:tcBorders>
              <w:top w:val="nil"/>
              <w:left w:val="single" w:color="auto" w:sz="4" w:space="0"/>
              <w:bottom w:val="single" w:color="auto" w:sz="4" w:space="0"/>
              <w:right w:val="single" w:color="auto" w:sz="4" w:space="0"/>
            </w:tcBorders>
            <w:shd w:val="clear" w:color="auto" w:fill="auto"/>
            <w:vAlign w:val="center"/>
          </w:tcPr>
          <w:p w14:paraId="33A20FB2">
            <w:pPr>
              <w:widowControl/>
              <w:spacing w:line="240" w:lineRule="atLeast"/>
              <w:contextualSpacing/>
              <w:jc w:val="left"/>
              <w:rPr>
                <w:rFonts w:hint="eastAsia" w:ascii="黑体" w:hAnsi="黑体" w:eastAsia="黑体" w:cs="宋体"/>
                <w:kern w:val="0"/>
                <w:sz w:val="20"/>
              </w:rPr>
            </w:pPr>
            <w:r>
              <w:rPr>
                <w:rFonts w:hint="eastAsia" w:ascii="黑体" w:hAnsi="黑体" w:eastAsia="黑体" w:cs="宋体"/>
                <w:kern w:val="0"/>
                <w:sz w:val="20"/>
              </w:rPr>
              <w:t>　   合同的总价（大写）为：万元整   　￥：万元</w:t>
            </w:r>
          </w:p>
        </w:tc>
      </w:tr>
    </w:tbl>
    <w:p w14:paraId="36577F8C">
      <w:pPr>
        <w:pStyle w:val="80"/>
        <w:numPr>
          <w:ilvl w:val="0"/>
          <w:numId w:val="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价格包括合同设备费（含备品备件、专用工具）、设计费、技术资料费、技术服务费，安装费、调试费、培训费、质保期内的维护保养费、设备的包装费、装车费、卸车费、运输费、运输保险费、各种杂费、税费及与本合同有关的所有费用。</w:t>
      </w:r>
    </w:p>
    <w:p w14:paraId="55C4DD9F">
      <w:pPr>
        <w:pStyle w:val="80"/>
        <w:numPr>
          <w:ilvl w:val="0"/>
          <w:numId w:val="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上述合同价格为乙方将合同设备运输到甲方工地、并安装调试合格交付甲方使用的最终价格，不因任何因素的改变而改变。</w:t>
      </w:r>
    </w:p>
    <w:p w14:paraId="7C770CB4">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E2F3D76">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条款4支付</w:t>
      </w:r>
    </w:p>
    <w:p w14:paraId="7555E39B">
      <w:pPr>
        <w:pStyle w:val="80"/>
        <w:spacing w:line="240" w:lineRule="atLeast"/>
        <w:ind w:firstLine="0" w:firstLineChars="0"/>
        <w:rPr>
          <w:rFonts w:hint="eastAsia" w:ascii="仿宋" w:hAnsi="仿宋" w:eastAsia="仿宋"/>
          <w:sz w:val="24"/>
          <w:szCs w:val="24"/>
        </w:rPr>
      </w:pPr>
      <w:r>
        <w:rPr>
          <w:rFonts w:hint="eastAsia" w:ascii="仿宋" w:hAnsi="仿宋" w:eastAsia="仿宋"/>
          <w:sz w:val="32"/>
          <w:szCs w:val="32"/>
        </w:rPr>
        <w:t>4、</w:t>
      </w:r>
      <w:r>
        <w:rPr>
          <w:rFonts w:hint="eastAsia" w:ascii="仿宋" w:hAnsi="仿宋" w:eastAsia="仿宋"/>
          <w:sz w:val="24"/>
          <w:szCs w:val="24"/>
        </w:rPr>
        <w:t>付款方式：银行承兑或现汇</w:t>
      </w:r>
    </w:p>
    <w:p w14:paraId="7B09A85E">
      <w:pPr>
        <w:pStyle w:val="80"/>
        <w:numPr>
          <w:ilvl w:val="1"/>
          <w:numId w:val="6"/>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合同货物全部到达甲方安装现场并经甲方根据技术协议的要求对合同设备的外观，数量，规格型号，及附带的说明书合格证等初步验收合格，由甲方出具到货检验证书。</w:t>
      </w:r>
    </w:p>
    <w:p w14:paraId="3C8D101D">
      <w:pPr>
        <w:pStyle w:val="80"/>
        <w:numPr>
          <w:ilvl w:val="1"/>
          <w:numId w:val="6"/>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乙方向甲方开具合同总价90%的财务收据￥：</w:t>
      </w:r>
      <w:r>
        <w:rPr>
          <w:rFonts w:hint="eastAsia" w:ascii="仿宋" w:hAnsi="仿宋" w:eastAsia="仿宋"/>
          <w:sz w:val="24"/>
          <w:szCs w:val="24"/>
          <w:u w:val="single"/>
        </w:rPr>
        <w:t xml:space="preserve">     </w:t>
      </w:r>
      <w:r>
        <w:rPr>
          <w:rFonts w:hint="eastAsia" w:ascii="仿宋" w:hAnsi="仿宋" w:eastAsia="仿宋"/>
          <w:sz w:val="24"/>
          <w:szCs w:val="24"/>
        </w:rPr>
        <w:t>万元（大写人民币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0AB00D04">
      <w:pPr>
        <w:pStyle w:val="80"/>
        <w:numPr>
          <w:ilvl w:val="1"/>
          <w:numId w:val="6"/>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各项技术资料，检验合格证书等证件全部移交给甲方。</w:t>
      </w:r>
    </w:p>
    <w:p w14:paraId="1EF01C2F">
      <w:pPr>
        <w:pStyle w:val="80"/>
        <w:numPr>
          <w:ilvl w:val="1"/>
          <w:numId w:val="6"/>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设备安装调试结束，设备运行正常满一个月，双方办理设备性能考核验收手续，且达到技术协议标准要求，待最终验收合格后由甲方出具验收合格报告。</w:t>
      </w:r>
    </w:p>
    <w:p w14:paraId="7C7606B8">
      <w:pPr>
        <w:pStyle w:val="80"/>
        <w:numPr>
          <w:ilvl w:val="1"/>
          <w:numId w:val="6"/>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出具验收报告后，乙方向甲方开具合同总价90%的增值税专用发票（税率13%)，甲方在90个工作日内支付合同总价的90%货款。</w:t>
      </w:r>
    </w:p>
    <w:p w14:paraId="56ECC444">
      <w:pPr>
        <w:pStyle w:val="80"/>
        <w:spacing w:line="240" w:lineRule="atLeast"/>
        <w:ind w:firstLine="240" w:firstLineChars="100"/>
        <w:rPr>
          <w:rFonts w:hint="eastAsia" w:ascii="仿宋" w:hAnsi="仿宋" w:eastAsia="仿宋"/>
          <w:sz w:val="24"/>
          <w:szCs w:val="24"/>
        </w:rPr>
      </w:pPr>
      <w:r>
        <w:rPr>
          <w:rFonts w:hint="eastAsia" w:ascii="仿宋" w:hAnsi="仿宋" w:eastAsia="仿宋"/>
          <w:sz w:val="24"/>
          <w:szCs w:val="24"/>
        </w:rPr>
        <w:t>4.6. 质保金：合同设备总价的10%，即￥：万元（大写人民币</w:t>
      </w:r>
      <w:r>
        <w:rPr>
          <w:rFonts w:hint="eastAsia" w:ascii="仿宋" w:hAnsi="仿宋" w:eastAsia="仿宋"/>
          <w:sz w:val="24"/>
          <w:szCs w:val="24"/>
          <w:u w:val="single"/>
        </w:rPr>
        <w:t xml:space="preserve">   </w:t>
      </w:r>
      <w:r>
        <w:rPr>
          <w:rFonts w:hint="eastAsia" w:ascii="仿宋" w:hAnsi="仿宋" w:eastAsia="仿宋"/>
          <w:sz w:val="24"/>
          <w:szCs w:val="24"/>
        </w:rPr>
        <w:t xml:space="preserve">万元整）在具备下列所有条件后甲方向乙方支付：   </w:t>
      </w:r>
    </w:p>
    <w:p w14:paraId="5432559F">
      <w:pPr>
        <w:pStyle w:val="80"/>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4.6.1.从设备安装调试合格试运行结束，甲方出具验收合格报告之日起稳定运行满12个月。</w:t>
      </w:r>
    </w:p>
    <w:p w14:paraId="2A0B8456">
      <w:pPr>
        <w:pStyle w:val="80"/>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4.6.2.设备运行状况和性能指标达到买卖双方签定的技术协议的要求，由双方验收人员签订设备的最终验收报告。</w:t>
      </w:r>
    </w:p>
    <w:p w14:paraId="16E0AD56">
      <w:pPr>
        <w:pStyle w:val="80"/>
        <w:spacing w:line="240" w:lineRule="atLeast"/>
        <w:ind w:left="284" w:firstLine="0" w:firstLineChars="0"/>
        <w:rPr>
          <w:rFonts w:hint="eastAsia" w:ascii="仿宋" w:hAnsi="仿宋" w:eastAsia="仿宋"/>
          <w:sz w:val="24"/>
          <w:szCs w:val="24"/>
        </w:rPr>
      </w:pPr>
      <w:r>
        <w:rPr>
          <w:rFonts w:hint="eastAsia" w:ascii="仿宋" w:hAnsi="仿宋" w:eastAsia="仿宋"/>
          <w:sz w:val="24"/>
          <w:szCs w:val="24"/>
        </w:rPr>
        <w:t>4.6.3.乙方向甲方开具合同总价10%的财务收据（大写人民币</w:t>
      </w:r>
      <w:r>
        <w:rPr>
          <w:rFonts w:hint="eastAsia" w:ascii="仿宋" w:hAnsi="仿宋" w:eastAsia="仿宋"/>
          <w:sz w:val="24"/>
          <w:szCs w:val="24"/>
          <w:u w:val="single"/>
        </w:rPr>
        <w:t xml:space="preserve">   </w:t>
      </w:r>
      <w:r>
        <w:rPr>
          <w:rFonts w:hint="eastAsia" w:ascii="仿宋" w:hAnsi="仿宋" w:eastAsia="仿宋"/>
          <w:sz w:val="24"/>
          <w:szCs w:val="24"/>
        </w:rPr>
        <w:t>万元整）。</w:t>
      </w:r>
    </w:p>
    <w:p w14:paraId="44668AC4">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2CE668D5">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条款5包装、运输及交货时间、地点、设备所有权转移</w:t>
      </w:r>
    </w:p>
    <w:p w14:paraId="1E506EE0">
      <w:pPr>
        <w:pStyle w:val="80"/>
        <w:numPr>
          <w:ilvl w:val="0"/>
          <w:numId w:val="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包装</w:t>
      </w:r>
    </w:p>
    <w:p w14:paraId="0EBA4365">
      <w:pPr>
        <w:pStyle w:val="80"/>
        <w:numPr>
          <w:ilvl w:val="0"/>
          <w:numId w:val="8"/>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乙方应依照设备的不同形状和特殊性质，将提供的全部设备须采用相应标准的保护措施进行包装，以确保设备安全运抵现场。乙方应承担其包装或其防护措施不到位而引起设备锈蚀、损坏和丢失的任何损失的责任和费用。每件包装应附有详细装箱单和质量合格证书各二套，一套原件在包装箱里，另一套复印件直接交付给甲方。</w:t>
      </w:r>
    </w:p>
    <w:p w14:paraId="1AB84020">
      <w:pPr>
        <w:pStyle w:val="80"/>
        <w:numPr>
          <w:ilvl w:val="0"/>
          <w:numId w:val="8"/>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包装箱上应有明显的印刷有“轻放”、“勿倒置”和“防雨”等字样。箱内的零散随机部件将由乙方贴上标签，注明合同号、主机名称、部件名称及位置号，部件在安装图上的编码。</w:t>
      </w:r>
    </w:p>
    <w:p w14:paraId="2980DB93">
      <w:pPr>
        <w:pStyle w:val="80"/>
        <w:numPr>
          <w:ilvl w:val="0"/>
          <w:numId w:val="8"/>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包装物不回收。</w:t>
      </w:r>
    </w:p>
    <w:p w14:paraId="4F7468F9">
      <w:pPr>
        <w:pStyle w:val="80"/>
        <w:numPr>
          <w:ilvl w:val="0"/>
          <w:numId w:val="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运输</w:t>
      </w:r>
    </w:p>
    <w:p w14:paraId="3FEBF8BD">
      <w:pPr>
        <w:pStyle w:val="80"/>
        <w:numPr>
          <w:ilvl w:val="0"/>
          <w:numId w:val="9"/>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运输方式：乙方采用合适的运输方式将合同设备发运至甲方现场。（发货前5天书面通知甲方）。</w:t>
      </w:r>
    </w:p>
    <w:p w14:paraId="5AB25428">
      <w:pPr>
        <w:pStyle w:val="80"/>
        <w:numPr>
          <w:ilvl w:val="0"/>
          <w:numId w:val="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交货时间和地点</w:t>
      </w:r>
    </w:p>
    <w:p w14:paraId="06537926">
      <w:pPr>
        <w:pStyle w:val="80"/>
        <w:numPr>
          <w:ilvl w:val="0"/>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交货时间：</w:t>
      </w:r>
      <w:r>
        <w:rPr>
          <w:rFonts w:hint="eastAsia" w:ascii="仿宋" w:hAnsi="仿宋" w:eastAsia="仿宋"/>
          <w:bCs/>
          <w:sz w:val="24"/>
          <w:szCs w:val="24"/>
        </w:rPr>
        <w:t>合同生效后</w:t>
      </w:r>
      <w:r>
        <w:rPr>
          <w:rFonts w:ascii="仿宋" w:hAnsi="仿宋" w:eastAsia="仿宋"/>
          <w:bCs/>
          <w:sz w:val="24"/>
          <w:szCs w:val="24"/>
        </w:rPr>
        <w:t>8</w:t>
      </w:r>
      <w:r>
        <w:rPr>
          <w:rFonts w:hint="eastAsia" w:ascii="仿宋" w:hAnsi="仿宋" w:eastAsia="仿宋"/>
          <w:bCs/>
          <w:sz w:val="24"/>
          <w:szCs w:val="24"/>
        </w:rPr>
        <w:t>个月内</w:t>
      </w:r>
      <w:r>
        <w:rPr>
          <w:rFonts w:hint="eastAsia" w:ascii="仿宋" w:hAnsi="仿宋" w:eastAsia="仿宋"/>
          <w:sz w:val="24"/>
          <w:szCs w:val="24"/>
        </w:rPr>
        <w:t>货到甲方现场并安装调试结束达到试运行条件（若甲方要求推迟或提前交货，甲方提前15天书面通知乙方）。</w:t>
      </w:r>
    </w:p>
    <w:p w14:paraId="4B5B4886">
      <w:pPr>
        <w:pStyle w:val="80"/>
        <w:numPr>
          <w:ilvl w:val="0"/>
          <w:numId w:val="10"/>
        </w:numPr>
        <w:spacing w:line="240" w:lineRule="atLeast"/>
        <w:ind w:hanging="556" w:firstLineChars="0"/>
        <w:rPr>
          <w:rFonts w:hint="eastAsia" w:ascii="仿宋" w:hAnsi="仿宋" w:eastAsia="仿宋"/>
          <w:sz w:val="24"/>
          <w:szCs w:val="24"/>
        </w:rPr>
      </w:pPr>
      <w:r>
        <w:rPr>
          <w:rFonts w:hint="eastAsia" w:ascii="仿宋" w:hAnsi="仿宋" w:eastAsia="仿宋"/>
          <w:sz w:val="24"/>
          <w:szCs w:val="24"/>
        </w:rPr>
        <w:t>交货地点：洛阳万基铝钛合金新材料有限公司设备安装现场。</w:t>
      </w:r>
    </w:p>
    <w:p w14:paraId="07FA0C7B">
      <w:pPr>
        <w:pStyle w:val="80"/>
        <w:numPr>
          <w:ilvl w:val="0"/>
          <w:numId w:val="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设备所有权的转移</w:t>
      </w:r>
    </w:p>
    <w:p w14:paraId="1EBD8F52">
      <w:pPr>
        <w:pStyle w:val="80"/>
        <w:numPr>
          <w:ilvl w:val="0"/>
          <w:numId w:val="11"/>
        </w:numPr>
        <w:spacing w:line="240" w:lineRule="atLeast"/>
        <w:ind w:hanging="698" w:firstLineChars="0"/>
        <w:rPr>
          <w:rFonts w:hint="eastAsia" w:ascii="仿宋" w:hAnsi="仿宋" w:eastAsia="仿宋"/>
          <w:sz w:val="24"/>
          <w:szCs w:val="24"/>
        </w:rPr>
      </w:pPr>
      <w:r>
        <w:rPr>
          <w:rFonts w:hint="eastAsia" w:ascii="仿宋" w:hAnsi="仿宋" w:eastAsia="仿宋"/>
          <w:sz w:val="24"/>
          <w:szCs w:val="24"/>
        </w:rPr>
        <w:t>方将合同设备发运至甲方现场后且经过买卖双方共同检验并出具到货检验证书后，设备所有权转移给甲方。</w:t>
      </w:r>
    </w:p>
    <w:p w14:paraId="692FFEF3">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1549906">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条款6安装与调试</w:t>
      </w:r>
    </w:p>
    <w:p w14:paraId="557F78D5">
      <w:pPr>
        <w:pStyle w:val="80"/>
        <w:numPr>
          <w:ilvl w:val="0"/>
          <w:numId w:val="12"/>
        </w:numPr>
        <w:spacing w:line="240" w:lineRule="atLeast"/>
        <w:ind w:left="567" w:hanging="616" w:firstLineChars="0"/>
        <w:rPr>
          <w:rFonts w:hint="eastAsia" w:ascii="仿宋" w:hAnsi="仿宋" w:eastAsia="仿宋"/>
          <w:sz w:val="24"/>
          <w:szCs w:val="24"/>
        </w:rPr>
      </w:pPr>
      <w:r>
        <w:rPr>
          <w:rFonts w:hint="eastAsia" w:ascii="仿宋" w:hAnsi="仿宋" w:eastAsia="仿宋"/>
          <w:sz w:val="24"/>
          <w:szCs w:val="24"/>
        </w:rPr>
        <w:t>乙方负责指派工程技术人员到甲方现场负责对本合同的设备进行安装和调试，并负责对甲方人员进行操作及维修的技术培训。</w:t>
      </w:r>
    </w:p>
    <w:p w14:paraId="164B74C0">
      <w:pPr>
        <w:pStyle w:val="80"/>
        <w:spacing w:line="240" w:lineRule="atLeast"/>
        <w:ind w:left="567" w:firstLine="0" w:firstLineChars="0"/>
        <w:rPr>
          <w:rFonts w:hint="eastAsia" w:ascii="仿宋" w:hAnsi="仿宋" w:eastAsia="仿宋"/>
          <w:sz w:val="24"/>
          <w:szCs w:val="24"/>
        </w:rPr>
      </w:pPr>
    </w:p>
    <w:p w14:paraId="67CA966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条款7技术规格及标准</w:t>
      </w:r>
    </w:p>
    <w:p w14:paraId="61F8F782">
      <w:pPr>
        <w:pStyle w:val="80"/>
        <w:numPr>
          <w:ilvl w:val="0"/>
          <w:numId w:val="1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本合同项下所供设备的技术规格按照技术协议执行。</w:t>
      </w:r>
    </w:p>
    <w:p w14:paraId="273C2D5D">
      <w:pPr>
        <w:pStyle w:val="80"/>
        <w:spacing w:line="240" w:lineRule="atLeast"/>
        <w:ind w:left="567" w:firstLine="0" w:firstLineChars="0"/>
        <w:rPr>
          <w:rFonts w:hint="eastAsia" w:ascii="仿宋" w:hAnsi="仿宋" w:eastAsia="仿宋"/>
          <w:sz w:val="24"/>
          <w:szCs w:val="24"/>
        </w:rPr>
      </w:pPr>
    </w:p>
    <w:p w14:paraId="4AA51B4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条款8质量保证</w:t>
      </w:r>
    </w:p>
    <w:p w14:paraId="3B147279">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其提供的设备是全新的，并符合合同规定的质量、规格和性能要求。乙方应保证其设备在质量保证期内运转良好。在质量保证期内，乙方应对其设备的缺陷而造成的任何故障负责。出现前述情况，乙方应在收到甲方通知后48小时内，免费负责修理或更换有缺陷的零部件或整机，并承担由此所产生的全部费用。若因此给甲方造成损失的，乙方应当赔偿。如乙方技术人员安装、调试失误或乙方所供技术资料、图纸、名称的错误，导致设备出现问题或损坏等，乙方应免费负责修理或更换零部件或整机，并承担由此所产生的全部费用。</w:t>
      </w:r>
    </w:p>
    <w:p w14:paraId="1A785337">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合同项下设备的质量保证期为甲方验收出具合同设备验收合格报告之日起12个月（即质保期满）。在质保期内合同设备非因甲方原因出现的故障，由乙方承担全部责任并免费更换损坏的零部件，质保期相应顺延。</w:t>
      </w:r>
    </w:p>
    <w:p w14:paraId="151D34DB">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所供设备在安装调试结束并稳定运行一个月后，甲方应在1个月内完成验收。由于甲方的原因不具备验收条件的，乙方应给予甲方2个月的配合期。在双方约定期限内，由于甲方条件不具备不能验收的，乙方书面告知甲方，由甲方按本合同技术协议指标进行验收并就设备质量进行评估考核，考核结果不符合设备的技术规范，乙方需在15日内使设备达到技术规范要求。若</w:t>
      </w:r>
      <w:r>
        <w:rPr>
          <w:rFonts w:hint="eastAsia" w:ascii="仿宋" w:hAnsi="仿宋" w:eastAsia="仿宋"/>
          <w:b/>
          <w:bCs/>
          <w:sz w:val="24"/>
          <w:szCs w:val="24"/>
        </w:rPr>
        <w:t>设备仍无法达到技术规范要求，则由乙方无条件拆除设备拉回，费用自理（若乙方在15日内不进行处理，甲方有权自行处理并不承担任何责任），同时乙方应退还甲方付给乙方的所有货款，且赔偿由此给甲方造成的所有损失，并向甲方支付单台设备总额20%的违约金。</w:t>
      </w:r>
      <w:r>
        <w:rPr>
          <w:rFonts w:hint="eastAsia" w:ascii="仿宋" w:hAnsi="仿宋" w:eastAsia="仿宋"/>
          <w:sz w:val="24"/>
          <w:szCs w:val="24"/>
        </w:rPr>
        <w:t>若经协商甲方同意接受，每一项与技术附件中（性能保证值及考核）指标要求不符的内容，由乙方向甲方支付合同总额的</w:t>
      </w:r>
      <w:r>
        <w:rPr>
          <w:rFonts w:ascii="仿宋" w:hAnsi="仿宋" w:eastAsia="仿宋"/>
          <w:sz w:val="24"/>
          <w:szCs w:val="24"/>
        </w:rPr>
        <w:t>0.5</w:t>
      </w:r>
      <w:r>
        <w:rPr>
          <w:rFonts w:hint="eastAsia" w:ascii="仿宋" w:hAnsi="仿宋" w:eastAsia="仿宋"/>
          <w:sz w:val="24"/>
          <w:szCs w:val="24"/>
        </w:rPr>
        <w:t>%作为违约金。</w:t>
      </w:r>
    </w:p>
    <w:p w14:paraId="1C81812A">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合同设备的使用和制造以及产品销售不会引起任何第三方提出的侵权赔偿，如果出现第三方的针对甲方使用乙方按照本合同提供的合同设备和技术文件侵权诉讼，乙方应负责处理这些问题，甲方应向乙方提供诉讼方面的必要信息，如给甲方造成损失，乙方应全额赔偿甲方的损失。</w:t>
      </w:r>
    </w:p>
    <w:p w14:paraId="2F44E64D">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质量实行终身负责制。质保期内，设备出现质量问题，乙方应在接到甲方通知24小时内到达甲方现场负责更换和维修，所有费用由乙方负担。质保期外，设备出现质量问题，若确系设计、原材料或制作工艺原因造成的，乙方应在24小时内免费处理，所需费用由乙方负担。非乙方原因设备出现问题，乙方也应在24小时内协助处理，所需费用由甲方负担。</w:t>
      </w:r>
    </w:p>
    <w:p w14:paraId="0143DABD">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乙方保证合同设备符合本合同《技术协议》的规定。</w:t>
      </w:r>
    </w:p>
    <w:p w14:paraId="232B3212">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乙方应保证所提供的技术资料能够满足合同设备的调试、操作及改造的需要。</w:t>
      </w:r>
    </w:p>
    <w:p w14:paraId="4B2C92DD">
      <w:pPr>
        <w:pStyle w:val="80"/>
        <w:numPr>
          <w:ilvl w:val="0"/>
          <w:numId w:val="14"/>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乙方保证合同所规定的元器件制造厂家及品牌，未经甲方书面同意，不得更改。选购的元器件应符合现行通用标准。外购件必须有相对应的产品合格证书和技术说明书。</w:t>
      </w:r>
    </w:p>
    <w:p w14:paraId="080B01B7">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294D87F9">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条款9检验</w:t>
      </w:r>
    </w:p>
    <w:p w14:paraId="1E6621AB">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发运前，乙方应对设备的质量、规格、性能、数量等进行详细而全面的检验，并出具一份证明设备符合合同规定的合格证书（该合格证书将作为付款的重要依据之一）。但有关质量、规格、性能、数量的检验不应视为最终检验。乙方检验的结果和细节在证书中加以说明，该检验费用由乙方负担。</w:t>
      </w:r>
    </w:p>
    <w:p w14:paraId="4F26582A">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运抵甲方现场后，买卖双方共同对设备的规格、数量和重量进行检验。如发现设备的规格或数量与合同不符，甲方有权在设备运抵现场后90天内，依据检验结果或当地质检部门出具的检验证书向乙方提出索赔。</w:t>
      </w:r>
    </w:p>
    <w:p w14:paraId="0D112232">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如果设备在条款8规定的质量保证期内证实设备是有缺陷的，包括潜在的缺陷或使用不符合要求的材料，甲方有权向乙方提出索赔。</w:t>
      </w:r>
    </w:p>
    <w:p w14:paraId="655990F5">
      <w:pPr>
        <w:pStyle w:val="80"/>
        <w:numPr>
          <w:ilvl w:val="0"/>
          <w:numId w:val="15"/>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有权在设备制造过程中派人到乙方工厂对合同设备进行监造和检验，乙方应为甲方监造人员提供方便，若发现乙方使用的材料、外购件或制造工艺不符合国家相关标准或技术协议规定的内容，甲方应向乙方提供书面整改通知。乙方应采取措施予以整改，否则为乙方违约，甲方有权拒付货款。同时甲方有权因乙方违约而提出索赔直至终止合同。，甲方不承担由此造成的延期付款责任。</w:t>
      </w:r>
    </w:p>
    <w:p w14:paraId="381AFB12">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E1EA2E0">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条款10索赔</w:t>
      </w:r>
    </w:p>
    <w:p w14:paraId="785B5432">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对合同设备与合同及技术要求不符负全部责任，乙方应按甲方同意的下述方法解决索赔事宜。免费更换有缺陷的零件、部件和设备，或修理缺陷部分，以达到合同规定的规格、质量和性能。乙方承担上述一切费用和风险并承担甲方遭受的一切损失费用。同时乙方应相应延长被更换设备的质量保证期。</w:t>
      </w:r>
    </w:p>
    <w:p w14:paraId="62BA06DC">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应将索赔要求及时通知乙方，乙方若有异议，在收到索赔通知单14天内提出书面异议。如果乙方在收到索赔通知后14天内未能予以答复，则视为乙方对索赔没有异议。若乙方未能在收到索赔通知后14天内处理索赔事宜，甲方有权从未付款中扣回索赔金额，同时保留进一步要求赔偿的权利。</w:t>
      </w:r>
    </w:p>
    <w:p w14:paraId="15A61A23">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如属乙方设备质量原因导致的任何轻微的损坏，甲方第一时间通知乙方经过双方认可后，甲方可以自行修复，由此产生的所有费用由乙方承担。</w:t>
      </w:r>
    </w:p>
    <w:p w14:paraId="20457FFE">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如属甲方使用不当造成损坏，乙方也有义务予以处理，费用由甲方承担。</w:t>
      </w:r>
    </w:p>
    <w:p w14:paraId="254BED7F">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因乙方设备质量问题造成事故的，所有责任由乙方承担，给甲方造成损失的，乙方应当赔偿。</w:t>
      </w:r>
    </w:p>
    <w:p w14:paraId="6CE2D9C8">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在收到买、卖双方签订的合同后，17日内提供正式设计用图纸文件资料（即技术资料），技术资料一般以邮寄方式递交，每批技术资料交邮后，乙方应在24小时内将技术资料的交邮日期、邮单号、技术资料的详细清单、件数及重量、合同号等以传真或电子邮件通知甲方。</w:t>
      </w:r>
    </w:p>
    <w:p w14:paraId="55C9B3C8">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交付的技术资料以邮政部门提货通知单时间戳记为技术资料的实际交付日期，此日期将作为按合同对任何延期交付资料进行延期违约金计算的依据（每迟交一天，违约金为5000元整）。如果技术资料经甲方检查后发现有缺少、丢失或损坏，乙方应在收到甲方通知后10天内［对急用者应在5天内］免费向现场补充提供缺少、丢失或损坏的部分。如因甲方原因发生缺少、丢失或损坏，乙方应在接到甲方通知后10天内［对急用者应在5天内］，向现场补充提供缺少、丢失或损坏部，费用由甲方承担。</w:t>
      </w:r>
    </w:p>
    <w:p w14:paraId="3602EFAD">
      <w:pPr>
        <w:pStyle w:val="80"/>
        <w:numPr>
          <w:ilvl w:val="0"/>
          <w:numId w:val="16"/>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乙方向甲方开具合同总价税率为13%的增值税专用发票，若出现税务部门不认可的情况，乙方应在接到甲方通知之日起7日内予以更换，否则须向甲方支付单台设备总价20%的违约金，违约金直接从未付款中扣除。</w:t>
      </w:r>
    </w:p>
    <w:p w14:paraId="29B18888">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1ACF843A">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条款11逾期交货</w:t>
      </w:r>
    </w:p>
    <w:p w14:paraId="26106F1A">
      <w:pPr>
        <w:pStyle w:val="80"/>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如果乙方未能按合同规定的时间到货并安装调试结束（不可抗力除外），甲方可根据情况决定是否延长交货期。若甲方同意延长交货期，每延迟1天，乙方按合同金额的0.5%向甲方支付违约金。</w:t>
      </w:r>
    </w:p>
    <w:p w14:paraId="5F82FD9A">
      <w:pPr>
        <w:pStyle w:val="80"/>
        <w:numPr>
          <w:ilvl w:val="0"/>
          <w:numId w:val="17"/>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若乙方延迟交货对甲方造成严重影响，或因乙方的延迟导致甲方不需向乙方购买该设备的，甲方有权视具体情况解除部分或全部合同，乙方应向甲方支付合同总金额</w:t>
      </w:r>
      <w:r>
        <w:rPr>
          <w:rFonts w:ascii="仿宋" w:hAnsi="仿宋" w:eastAsia="仿宋"/>
          <w:sz w:val="24"/>
          <w:szCs w:val="24"/>
        </w:rPr>
        <w:t>2</w:t>
      </w:r>
      <w:r>
        <w:rPr>
          <w:rFonts w:hint="eastAsia" w:ascii="仿宋" w:hAnsi="仿宋" w:eastAsia="仿宋"/>
          <w:sz w:val="24"/>
          <w:szCs w:val="24"/>
        </w:rPr>
        <w:t>0%的迟交货违约金，并赔偿由此给甲方造成的损失。</w:t>
      </w:r>
    </w:p>
    <w:p w14:paraId="3F47EFE3">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45CAA35E">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条款12不可抗力</w:t>
      </w:r>
    </w:p>
    <w:p w14:paraId="09EA2711">
      <w:pPr>
        <w:pStyle w:val="80"/>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签约双方任一方由于受不可抗力事件的影响而不能执行合同时，履行合同的期限应予以延长，其延长的期限应相当于事件所影响的时间。不可抗力事件系指甲乙双方在执行本合同中任何一方不能控制和不能预见的，诸如战争、严重火灾、洪水、台风、地震等。</w:t>
      </w:r>
    </w:p>
    <w:p w14:paraId="76E96973">
      <w:pPr>
        <w:pStyle w:val="80"/>
        <w:numPr>
          <w:ilvl w:val="0"/>
          <w:numId w:val="18"/>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14:paraId="737F5C68">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7808F6E4">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条款13 合同争议解决的方式</w:t>
      </w:r>
    </w:p>
    <w:p w14:paraId="0AF48570">
      <w:pPr>
        <w:pStyle w:val="80"/>
        <w:numPr>
          <w:ilvl w:val="0"/>
          <w:numId w:val="19"/>
        </w:numPr>
        <w:spacing w:line="240" w:lineRule="atLeast"/>
        <w:ind w:left="567" w:hanging="567" w:firstLineChars="0"/>
        <w:jc w:val="left"/>
        <w:rPr>
          <w:rFonts w:hint="eastAsia" w:ascii="仿宋" w:hAnsi="仿宋" w:eastAsia="仿宋"/>
          <w:sz w:val="24"/>
          <w:szCs w:val="24"/>
        </w:rPr>
      </w:pPr>
      <w:r>
        <w:rPr>
          <w:rFonts w:hint="eastAsia" w:ascii="仿宋" w:hAnsi="仿宋" w:eastAsia="仿宋"/>
          <w:sz w:val="24"/>
          <w:szCs w:val="24"/>
        </w:rPr>
        <w:t>凡与本合同有关而引起的一切争议，双方应首先通过友好协商解决，如经协商后仍不能达成协议时，向甲方所在地有管辖权的人民法院提出诉讼。</w:t>
      </w:r>
    </w:p>
    <w:p w14:paraId="61AFCFDC">
      <w:pPr>
        <w:pStyle w:val="80"/>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由上述过程发生的费用除法院判决另有规定外，应由败诉方承担。</w:t>
      </w:r>
    </w:p>
    <w:p w14:paraId="30C61146">
      <w:pPr>
        <w:pStyle w:val="80"/>
        <w:numPr>
          <w:ilvl w:val="0"/>
          <w:numId w:val="19"/>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在进行法院审理期间，除法院审理的部分外，合同其他部分仍应继续履行。</w:t>
      </w:r>
    </w:p>
    <w:p w14:paraId="399188EA">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1F3E54B9">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条款14适用法律</w:t>
      </w:r>
    </w:p>
    <w:p w14:paraId="3544FD46">
      <w:pPr>
        <w:pStyle w:val="80"/>
        <w:numPr>
          <w:ilvl w:val="0"/>
          <w:numId w:val="20"/>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本合同应按《中华人民共和国民法典》及相关法律解释。</w:t>
      </w:r>
    </w:p>
    <w:p w14:paraId="32B52585">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6A6D36E8">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条款15通知</w:t>
      </w:r>
    </w:p>
    <w:p w14:paraId="7AE04914">
      <w:pPr>
        <w:pStyle w:val="80"/>
        <w:numPr>
          <w:ilvl w:val="0"/>
          <w:numId w:val="21"/>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合同任何一方给另一方的通知都应以书面的形式发送，而另一方应以书面形式确认并发送到对方明确的地址。</w:t>
      </w:r>
    </w:p>
    <w:p w14:paraId="09608C90">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57FD335F">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条款16合同生效</w:t>
      </w:r>
    </w:p>
    <w:p w14:paraId="27A8B328">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本合同自</w:t>
      </w:r>
      <w:r>
        <w:rPr>
          <w:rFonts w:hint="eastAsia" w:ascii="仿宋" w:hAnsi="仿宋" w:eastAsia="仿宋"/>
          <w:bCs/>
          <w:sz w:val="24"/>
          <w:szCs w:val="24"/>
        </w:rPr>
        <w:t>双方签字盖章之日起收到预付款后生效</w:t>
      </w:r>
      <w:r>
        <w:rPr>
          <w:rFonts w:hint="eastAsia" w:ascii="仿宋" w:hAnsi="仿宋" w:eastAsia="仿宋"/>
          <w:sz w:val="24"/>
          <w:szCs w:val="24"/>
        </w:rPr>
        <w:t>，至双方履行完各自义务索赔完毕时终止。</w:t>
      </w:r>
    </w:p>
    <w:p w14:paraId="0DEDD1BD">
      <w:pPr>
        <w:pStyle w:val="80"/>
        <w:numPr>
          <w:ilvl w:val="0"/>
          <w:numId w:val="22"/>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本合同一式六份，甲方四份，乙方二份。</w:t>
      </w:r>
    </w:p>
    <w:p w14:paraId="7793E8B8">
      <w:pPr>
        <w:pStyle w:val="80"/>
        <w:snapToGrid w:val="0"/>
        <w:spacing w:line="240" w:lineRule="atLeast"/>
        <w:ind w:left="567" w:firstLine="0" w:firstLineChars="0"/>
        <w:contextualSpacing/>
        <w:jc w:val="center"/>
        <w:outlineLvl w:val="0"/>
        <w:rPr>
          <w:rFonts w:hint="eastAsia" w:ascii="仿宋" w:hAnsi="仿宋" w:eastAsia="仿宋"/>
          <w:b/>
          <w:sz w:val="24"/>
          <w:szCs w:val="24"/>
        </w:rPr>
      </w:pPr>
    </w:p>
    <w:p w14:paraId="0053C95E">
      <w:pPr>
        <w:pStyle w:val="80"/>
        <w:snapToGrid w:val="0"/>
        <w:spacing w:line="240" w:lineRule="atLeast"/>
        <w:ind w:left="567" w:firstLine="0" w:firstLineChars="0"/>
        <w:contextualSpacing/>
        <w:jc w:val="center"/>
        <w:outlineLvl w:val="0"/>
        <w:rPr>
          <w:rFonts w:hint="eastAsia" w:ascii="仿宋" w:hAnsi="仿宋" w:eastAsia="仿宋"/>
          <w:b/>
          <w:sz w:val="24"/>
          <w:szCs w:val="24"/>
        </w:rPr>
      </w:pPr>
      <w:r>
        <w:rPr>
          <w:rFonts w:hint="eastAsia" w:ascii="仿宋" w:hAnsi="仿宋" w:eastAsia="仿宋"/>
          <w:b/>
          <w:sz w:val="24"/>
          <w:szCs w:val="24"/>
        </w:rPr>
        <w:t>条款 17其它约定事项</w:t>
      </w:r>
    </w:p>
    <w:p w14:paraId="2960CBA1">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合同所附技术协议独立成文，与本合同具有同等法律效力。</w:t>
      </w:r>
    </w:p>
    <w:p w14:paraId="0170A6FA">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未经甲方书面同意，乙方不得将本合同权利义务转让给第三方。</w:t>
      </w:r>
    </w:p>
    <w:p w14:paraId="59C26B42">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甲方根据工程需要可以要求乙方提前交货，但要以书面形式提前通知乙方。</w:t>
      </w:r>
    </w:p>
    <w:p w14:paraId="1299A3CA">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乙方提供的所有有关技术资料一式六份。</w:t>
      </w:r>
    </w:p>
    <w:p w14:paraId="2B2D2F09">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乙方安装、调试人员应遵守甲方现场的各项规章制度并作好自我的安全防护措施，若由于自身原因造成不安全事件发生，一切责任由乙方承担。</w:t>
      </w:r>
    </w:p>
    <w:p w14:paraId="7F723E03">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如果乙方破产或无清偿能力时，甲方可在任何时候以书面通知乙方终止合同。该终止合同将不损害或影响甲方已经采取或将要采取的补救措施的权利。</w:t>
      </w:r>
    </w:p>
    <w:p w14:paraId="5CC1FFCF">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合同设备所需的外配套件虽然在合同中已有了约定，但在合同执行中若甲方发现这些外配套厂家所供的配套件可能影响合同设备的整体性能时，甲方有权要求更换外配套厂家，乙方不得以此为由要求增加费用。未经甲方同意，乙方不得私自更换外配套厂家。</w:t>
      </w:r>
    </w:p>
    <w:p w14:paraId="197F98D2">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在合同执行过程中，若出现合同与技术协议有冲突的情况，以本合同为执行标准。本合同未涉及的部分，以技术协议为执行标准。</w:t>
      </w:r>
    </w:p>
    <w:p w14:paraId="4F1663FD">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本合同为“交钥匙”合同，乙方负责供货安装、调试至满足合同及技术协议要求。</w:t>
      </w:r>
    </w:p>
    <w:p w14:paraId="2906C77D">
      <w:pPr>
        <w:pStyle w:val="80"/>
        <w:numPr>
          <w:ilvl w:val="0"/>
          <w:numId w:val="23"/>
        </w:numPr>
        <w:spacing w:line="240" w:lineRule="atLeast"/>
        <w:ind w:left="567" w:hanging="567" w:firstLineChars="0"/>
        <w:rPr>
          <w:rFonts w:hint="eastAsia" w:ascii="仿宋" w:hAnsi="仿宋" w:eastAsia="仿宋"/>
          <w:sz w:val="24"/>
          <w:szCs w:val="24"/>
        </w:rPr>
      </w:pPr>
      <w:r>
        <w:rPr>
          <w:rFonts w:hint="eastAsia" w:ascii="仿宋" w:hAnsi="仿宋" w:eastAsia="仿宋"/>
          <w:sz w:val="24"/>
          <w:szCs w:val="24"/>
        </w:rPr>
        <w:t>未尽事宜，双方可签订补充协议。</w:t>
      </w:r>
    </w:p>
    <w:p w14:paraId="041FD371">
      <w:pPr>
        <w:pStyle w:val="80"/>
        <w:snapToGrid w:val="0"/>
        <w:spacing w:line="240" w:lineRule="atLeast"/>
        <w:ind w:firstLine="0" w:firstLineChars="0"/>
        <w:contextualSpacing/>
        <w:outlineLvl w:val="0"/>
        <w:rPr>
          <w:rFonts w:hint="eastAsia" w:ascii="仿宋" w:hAnsi="仿宋" w:eastAsia="仿宋"/>
          <w:b/>
          <w:sz w:val="24"/>
          <w:szCs w:val="24"/>
        </w:rPr>
      </w:pPr>
    </w:p>
    <w:p w14:paraId="53FF3F09">
      <w:pPr>
        <w:widowControl/>
        <w:spacing w:line="240" w:lineRule="atLeast"/>
        <w:rPr>
          <w:rFonts w:hint="eastAsia" w:ascii="仿宋" w:hAnsi="仿宋" w:eastAsia="仿宋"/>
          <w:b/>
          <w:sz w:val="44"/>
          <w:szCs w:val="44"/>
        </w:rPr>
      </w:pPr>
      <w:r>
        <w:rPr>
          <w:rFonts w:hint="eastAsia" w:ascii="仿宋" w:hAnsi="仿宋" w:eastAsia="仿宋"/>
          <w:b/>
          <w:sz w:val="44"/>
          <w:szCs w:val="44"/>
        </w:rPr>
        <w:t>签字页</w:t>
      </w:r>
    </w:p>
    <w:tbl>
      <w:tblPr>
        <w:tblStyle w:val="8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0C24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022223D3">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甲方：</w:t>
            </w:r>
            <w:r>
              <w:rPr>
                <w:rFonts w:hint="eastAsia" w:ascii="Arial" w:hAnsi="Arial" w:eastAsia="黑体" w:cs="Arial"/>
                <w:color w:val="000000"/>
                <w:kern w:val="0"/>
                <w:szCs w:val="21"/>
              </w:rPr>
              <w:t>*******************</w:t>
            </w:r>
            <w:r>
              <w:rPr>
                <w:rFonts w:ascii="Arial" w:hAnsi="Arial" w:eastAsia="黑体" w:cs="Arial"/>
                <w:color w:val="000000"/>
                <w:kern w:val="0"/>
                <w:szCs w:val="21"/>
              </w:rPr>
              <w:t>有限公司</w:t>
            </w:r>
          </w:p>
        </w:tc>
        <w:tc>
          <w:tcPr>
            <w:tcW w:w="4261" w:type="dxa"/>
          </w:tcPr>
          <w:p w14:paraId="72C50A2D">
            <w:pPr>
              <w:spacing w:line="480" w:lineRule="auto"/>
              <w:contextualSpacing/>
              <w:rPr>
                <w:rFonts w:ascii="Arial" w:hAnsi="Arial" w:eastAsia="黑体" w:cs="Arial"/>
                <w:color w:val="000000"/>
                <w:kern w:val="0"/>
                <w:szCs w:val="21"/>
              </w:rPr>
            </w:pPr>
            <w:r>
              <w:rPr>
                <w:rFonts w:ascii="Arial" w:hAnsi="Arial" w:eastAsia="黑体" w:cs="Arial"/>
                <w:color w:val="000000"/>
                <w:kern w:val="0"/>
                <w:szCs w:val="21"/>
              </w:rPr>
              <w:t>乙方：</w:t>
            </w:r>
          </w:p>
        </w:tc>
      </w:tr>
      <w:tr w14:paraId="534F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66BEF65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p w14:paraId="46FCEC40">
            <w:pPr>
              <w:spacing w:line="480" w:lineRule="auto"/>
              <w:contextualSpacing/>
              <w:rPr>
                <w:rFonts w:ascii="Arial" w:hAnsi="Arial" w:eastAsia="黑体" w:cs="Arial"/>
                <w:color w:val="000000"/>
                <w:kern w:val="0"/>
                <w:sz w:val="20"/>
                <w:szCs w:val="21"/>
              </w:rPr>
            </w:pPr>
          </w:p>
        </w:tc>
        <w:tc>
          <w:tcPr>
            <w:tcW w:w="4261" w:type="dxa"/>
          </w:tcPr>
          <w:p w14:paraId="7000372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法定代表人或其委托代理人（签字）</w:t>
            </w:r>
          </w:p>
        </w:tc>
      </w:tr>
      <w:tr w14:paraId="712E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7465C4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c>
          <w:tcPr>
            <w:tcW w:w="4261" w:type="dxa"/>
          </w:tcPr>
          <w:p w14:paraId="214F103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签字日期：</w:t>
            </w:r>
          </w:p>
        </w:tc>
      </w:tr>
      <w:tr w14:paraId="1C927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10CB9CC4">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c>
          <w:tcPr>
            <w:tcW w:w="4261" w:type="dxa"/>
          </w:tcPr>
          <w:p w14:paraId="6E49B430">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地址：</w:t>
            </w:r>
          </w:p>
        </w:tc>
      </w:tr>
      <w:tr w14:paraId="0F98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AD1D0F3">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c>
          <w:tcPr>
            <w:tcW w:w="4261" w:type="dxa"/>
          </w:tcPr>
          <w:p w14:paraId="1E49C85B">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电话：</w:t>
            </w:r>
          </w:p>
        </w:tc>
      </w:tr>
      <w:tr w14:paraId="610E7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56994D98">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c>
          <w:tcPr>
            <w:tcW w:w="4261" w:type="dxa"/>
          </w:tcPr>
          <w:p w14:paraId="5242A05A">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传真：</w:t>
            </w:r>
          </w:p>
        </w:tc>
      </w:tr>
      <w:tr w14:paraId="72D6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vAlign w:val="center"/>
          </w:tcPr>
          <w:p w14:paraId="0328547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c>
          <w:tcPr>
            <w:tcW w:w="4261" w:type="dxa"/>
            <w:vAlign w:val="center"/>
          </w:tcPr>
          <w:p w14:paraId="3D3D46ED">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开户银行及行号：</w:t>
            </w:r>
          </w:p>
        </w:tc>
      </w:tr>
      <w:tr w14:paraId="750A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14:paraId="34E7A409">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c>
          <w:tcPr>
            <w:tcW w:w="4261" w:type="dxa"/>
          </w:tcPr>
          <w:p w14:paraId="358CC90F">
            <w:pPr>
              <w:spacing w:line="480" w:lineRule="auto"/>
              <w:contextualSpacing/>
              <w:rPr>
                <w:rFonts w:ascii="Arial" w:hAnsi="Arial" w:eastAsia="黑体" w:cs="Arial"/>
                <w:color w:val="000000"/>
                <w:kern w:val="0"/>
                <w:sz w:val="20"/>
                <w:szCs w:val="21"/>
              </w:rPr>
            </w:pPr>
            <w:r>
              <w:rPr>
                <w:rFonts w:ascii="Arial" w:hAnsi="Arial" w:eastAsia="黑体" w:cs="Arial"/>
                <w:color w:val="000000"/>
                <w:kern w:val="0"/>
                <w:sz w:val="20"/>
                <w:szCs w:val="21"/>
              </w:rPr>
              <w:t>账号：</w:t>
            </w:r>
          </w:p>
        </w:tc>
      </w:tr>
    </w:tbl>
    <w:p w14:paraId="77474067">
      <w:pPr>
        <w:spacing w:line="520" w:lineRule="exact"/>
        <w:rPr>
          <w:rFonts w:hint="eastAsia" w:ascii="仿宋" w:hAnsi="仿宋" w:eastAsia="仿宋"/>
          <w:sz w:val="28"/>
          <w:szCs w:val="32"/>
        </w:rPr>
      </w:pPr>
    </w:p>
    <w:p w14:paraId="037E9673">
      <w:pPr>
        <w:spacing w:line="520" w:lineRule="exact"/>
        <w:rPr>
          <w:rFonts w:hint="eastAsia" w:ascii="仿宋" w:hAnsi="仿宋" w:eastAsia="仿宋"/>
          <w:sz w:val="28"/>
          <w:szCs w:val="32"/>
        </w:rPr>
      </w:pPr>
    </w:p>
    <w:p w14:paraId="2A5E63F7">
      <w:pPr>
        <w:spacing w:line="520" w:lineRule="exact"/>
        <w:rPr>
          <w:rFonts w:hint="eastAsia" w:ascii="仿宋" w:hAnsi="仿宋" w:eastAsia="仿宋"/>
          <w:sz w:val="28"/>
          <w:szCs w:val="32"/>
        </w:rPr>
      </w:pPr>
      <w:r>
        <w:rPr>
          <w:rFonts w:hint="eastAsia" w:ascii="仿宋" w:hAnsi="仿宋" w:eastAsia="仿宋"/>
          <w:sz w:val="28"/>
          <w:szCs w:val="32"/>
        </w:rPr>
        <w:t>附件7 差异回复：（投标人若对招标要求有异议，可将差异填写在如下表格中，如无差异直接在报价中签字确认）</w:t>
      </w:r>
    </w:p>
    <w:p w14:paraId="022DB853">
      <w:pPr>
        <w:spacing w:line="300" w:lineRule="exact"/>
        <w:rPr>
          <w:rFonts w:hint="eastAsia" w:ascii="仿宋" w:hAnsi="仿宋" w:eastAsia="仿宋"/>
          <w:sz w:val="28"/>
          <w:szCs w:val="32"/>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936"/>
        <w:gridCol w:w="3561"/>
        <w:gridCol w:w="816"/>
        <w:gridCol w:w="2698"/>
      </w:tblGrid>
      <w:tr w14:paraId="241AE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exact"/>
        </w:trPr>
        <w:tc>
          <w:tcPr>
            <w:tcW w:w="523" w:type="pct"/>
            <w:vMerge w:val="restart"/>
            <w:vAlign w:val="center"/>
          </w:tcPr>
          <w:p w14:paraId="2F050778">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序号</w:t>
            </w:r>
          </w:p>
        </w:tc>
        <w:tc>
          <w:tcPr>
            <w:tcW w:w="2513" w:type="pct"/>
            <w:gridSpan w:val="2"/>
            <w:vAlign w:val="center"/>
          </w:tcPr>
          <w:p w14:paraId="6EFC4CBA">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招标文件</w:t>
            </w:r>
          </w:p>
        </w:tc>
        <w:tc>
          <w:tcPr>
            <w:tcW w:w="1964" w:type="pct"/>
            <w:gridSpan w:val="2"/>
            <w:vAlign w:val="center"/>
          </w:tcPr>
          <w:p w14:paraId="60186D03">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投标文件</w:t>
            </w:r>
          </w:p>
        </w:tc>
      </w:tr>
      <w:tr w14:paraId="163D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523" w:type="pct"/>
            <w:vMerge w:val="continue"/>
            <w:vAlign w:val="center"/>
          </w:tcPr>
          <w:p w14:paraId="36FF2C9E">
            <w:pPr>
              <w:pStyle w:val="28"/>
              <w:spacing w:line="240" w:lineRule="atLeast"/>
              <w:jc w:val="center"/>
              <w:rPr>
                <w:rFonts w:hint="eastAsia" w:hAnsi="宋体" w:cs="宋体"/>
                <w:color w:val="000000"/>
                <w:kern w:val="0"/>
                <w:sz w:val="24"/>
                <w:szCs w:val="24"/>
              </w:rPr>
            </w:pPr>
          </w:p>
        </w:tc>
        <w:tc>
          <w:tcPr>
            <w:tcW w:w="523" w:type="pct"/>
            <w:vAlign w:val="center"/>
          </w:tcPr>
          <w:p w14:paraId="765F724D">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989" w:type="pct"/>
            <w:vAlign w:val="center"/>
          </w:tcPr>
          <w:p w14:paraId="46B0EA0F">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c>
          <w:tcPr>
            <w:tcW w:w="456" w:type="pct"/>
            <w:vAlign w:val="center"/>
          </w:tcPr>
          <w:p w14:paraId="0C10257B">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条目</w:t>
            </w:r>
          </w:p>
        </w:tc>
        <w:tc>
          <w:tcPr>
            <w:tcW w:w="1508" w:type="pct"/>
            <w:vAlign w:val="center"/>
          </w:tcPr>
          <w:p w14:paraId="627AA5F7">
            <w:pPr>
              <w:pStyle w:val="28"/>
              <w:spacing w:line="240" w:lineRule="atLeast"/>
              <w:jc w:val="center"/>
              <w:rPr>
                <w:rFonts w:hint="eastAsia" w:hAnsi="宋体" w:cs="宋体"/>
                <w:color w:val="000000"/>
                <w:kern w:val="0"/>
                <w:sz w:val="24"/>
                <w:szCs w:val="24"/>
              </w:rPr>
            </w:pPr>
            <w:r>
              <w:rPr>
                <w:rFonts w:hint="eastAsia" w:hAnsi="宋体" w:cs="宋体"/>
                <w:color w:val="000000"/>
                <w:kern w:val="0"/>
                <w:sz w:val="24"/>
                <w:szCs w:val="24"/>
              </w:rPr>
              <w:t>简要内容</w:t>
            </w:r>
          </w:p>
        </w:tc>
      </w:tr>
      <w:tr w14:paraId="5BD3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E582F9F">
            <w:pPr>
              <w:pStyle w:val="28"/>
              <w:spacing w:line="240" w:lineRule="atLeast"/>
              <w:rPr>
                <w:rFonts w:hint="eastAsia" w:hAnsi="宋体" w:cs="宋体"/>
                <w:color w:val="000000"/>
                <w:kern w:val="0"/>
                <w:sz w:val="24"/>
                <w:szCs w:val="24"/>
              </w:rPr>
            </w:pPr>
          </w:p>
        </w:tc>
        <w:tc>
          <w:tcPr>
            <w:tcW w:w="523" w:type="pct"/>
            <w:vAlign w:val="center"/>
          </w:tcPr>
          <w:p w14:paraId="7827C64B">
            <w:pPr>
              <w:pStyle w:val="28"/>
              <w:spacing w:line="240" w:lineRule="atLeast"/>
              <w:rPr>
                <w:rFonts w:hint="eastAsia" w:hAnsi="宋体" w:cs="宋体"/>
                <w:color w:val="000000"/>
                <w:kern w:val="0"/>
                <w:sz w:val="24"/>
                <w:szCs w:val="24"/>
              </w:rPr>
            </w:pPr>
          </w:p>
        </w:tc>
        <w:tc>
          <w:tcPr>
            <w:tcW w:w="1989" w:type="pct"/>
            <w:vAlign w:val="center"/>
          </w:tcPr>
          <w:p w14:paraId="28EF1BCA">
            <w:pPr>
              <w:pStyle w:val="28"/>
              <w:spacing w:line="240" w:lineRule="atLeast"/>
              <w:rPr>
                <w:rFonts w:hint="eastAsia" w:hAnsi="宋体" w:cs="宋体"/>
                <w:color w:val="000000"/>
                <w:kern w:val="0"/>
                <w:sz w:val="24"/>
                <w:szCs w:val="24"/>
              </w:rPr>
            </w:pPr>
          </w:p>
        </w:tc>
        <w:tc>
          <w:tcPr>
            <w:tcW w:w="456" w:type="pct"/>
            <w:vAlign w:val="center"/>
          </w:tcPr>
          <w:p w14:paraId="7809E7A0">
            <w:pPr>
              <w:pStyle w:val="28"/>
              <w:spacing w:line="240" w:lineRule="atLeast"/>
              <w:rPr>
                <w:rFonts w:hint="eastAsia" w:hAnsi="宋体" w:cs="宋体"/>
                <w:color w:val="000000"/>
                <w:kern w:val="0"/>
                <w:sz w:val="24"/>
                <w:szCs w:val="24"/>
              </w:rPr>
            </w:pPr>
          </w:p>
        </w:tc>
        <w:tc>
          <w:tcPr>
            <w:tcW w:w="1508" w:type="pct"/>
            <w:vAlign w:val="center"/>
          </w:tcPr>
          <w:p w14:paraId="2F07DDC3">
            <w:pPr>
              <w:pStyle w:val="28"/>
              <w:spacing w:line="240" w:lineRule="atLeast"/>
              <w:rPr>
                <w:rFonts w:hint="eastAsia" w:hAnsi="宋体" w:cs="宋体"/>
                <w:color w:val="000000"/>
                <w:kern w:val="0"/>
                <w:sz w:val="24"/>
                <w:szCs w:val="24"/>
              </w:rPr>
            </w:pPr>
          </w:p>
        </w:tc>
      </w:tr>
      <w:tr w14:paraId="1C55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5340989C">
            <w:pPr>
              <w:pStyle w:val="28"/>
              <w:spacing w:line="240" w:lineRule="atLeast"/>
              <w:rPr>
                <w:rFonts w:hint="eastAsia" w:hAnsi="宋体" w:cs="宋体"/>
                <w:color w:val="000000"/>
                <w:kern w:val="0"/>
                <w:sz w:val="24"/>
                <w:szCs w:val="24"/>
              </w:rPr>
            </w:pPr>
          </w:p>
        </w:tc>
        <w:tc>
          <w:tcPr>
            <w:tcW w:w="523" w:type="pct"/>
            <w:vAlign w:val="center"/>
          </w:tcPr>
          <w:p w14:paraId="702B858A">
            <w:pPr>
              <w:pStyle w:val="28"/>
              <w:spacing w:line="240" w:lineRule="atLeast"/>
              <w:rPr>
                <w:rFonts w:hint="eastAsia" w:hAnsi="宋体" w:cs="宋体"/>
                <w:color w:val="000000"/>
                <w:kern w:val="0"/>
                <w:sz w:val="24"/>
                <w:szCs w:val="24"/>
              </w:rPr>
            </w:pPr>
          </w:p>
        </w:tc>
        <w:tc>
          <w:tcPr>
            <w:tcW w:w="1989" w:type="pct"/>
            <w:vAlign w:val="center"/>
          </w:tcPr>
          <w:p w14:paraId="50AEFC6A">
            <w:pPr>
              <w:pStyle w:val="28"/>
              <w:spacing w:line="240" w:lineRule="atLeast"/>
              <w:rPr>
                <w:rFonts w:hint="eastAsia" w:hAnsi="宋体" w:cs="宋体"/>
                <w:color w:val="000000"/>
                <w:kern w:val="0"/>
                <w:sz w:val="24"/>
                <w:szCs w:val="24"/>
              </w:rPr>
            </w:pPr>
          </w:p>
        </w:tc>
        <w:tc>
          <w:tcPr>
            <w:tcW w:w="456" w:type="pct"/>
            <w:vAlign w:val="center"/>
          </w:tcPr>
          <w:p w14:paraId="64163CF5">
            <w:pPr>
              <w:pStyle w:val="28"/>
              <w:spacing w:line="240" w:lineRule="atLeast"/>
              <w:rPr>
                <w:rFonts w:hint="eastAsia" w:hAnsi="宋体" w:cs="宋体"/>
                <w:color w:val="000000"/>
                <w:kern w:val="0"/>
                <w:sz w:val="24"/>
                <w:szCs w:val="24"/>
              </w:rPr>
            </w:pPr>
          </w:p>
        </w:tc>
        <w:tc>
          <w:tcPr>
            <w:tcW w:w="1508" w:type="pct"/>
            <w:vAlign w:val="center"/>
          </w:tcPr>
          <w:p w14:paraId="442D63A9">
            <w:pPr>
              <w:pStyle w:val="28"/>
              <w:spacing w:line="240" w:lineRule="atLeast"/>
              <w:rPr>
                <w:rFonts w:hint="eastAsia" w:hAnsi="宋体" w:cs="宋体"/>
                <w:color w:val="000000"/>
                <w:kern w:val="0"/>
                <w:sz w:val="24"/>
                <w:szCs w:val="24"/>
              </w:rPr>
            </w:pPr>
          </w:p>
        </w:tc>
      </w:tr>
      <w:tr w14:paraId="006E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23" w:type="pct"/>
            <w:vAlign w:val="center"/>
          </w:tcPr>
          <w:p w14:paraId="0B2D8E85">
            <w:pPr>
              <w:pStyle w:val="28"/>
              <w:spacing w:line="240" w:lineRule="atLeast"/>
              <w:rPr>
                <w:rFonts w:hint="eastAsia" w:hAnsi="宋体" w:cs="宋体"/>
                <w:color w:val="000000"/>
                <w:kern w:val="0"/>
                <w:sz w:val="24"/>
                <w:szCs w:val="24"/>
              </w:rPr>
            </w:pPr>
          </w:p>
        </w:tc>
        <w:tc>
          <w:tcPr>
            <w:tcW w:w="523" w:type="pct"/>
            <w:vAlign w:val="center"/>
          </w:tcPr>
          <w:p w14:paraId="6DC14E45">
            <w:pPr>
              <w:pStyle w:val="28"/>
              <w:spacing w:line="240" w:lineRule="atLeast"/>
              <w:rPr>
                <w:rFonts w:hint="eastAsia" w:hAnsi="宋体" w:cs="宋体"/>
                <w:color w:val="000000"/>
                <w:kern w:val="0"/>
                <w:sz w:val="24"/>
                <w:szCs w:val="24"/>
              </w:rPr>
            </w:pPr>
          </w:p>
        </w:tc>
        <w:tc>
          <w:tcPr>
            <w:tcW w:w="1989" w:type="pct"/>
            <w:vAlign w:val="center"/>
          </w:tcPr>
          <w:p w14:paraId="2BE4919F">
            <w:pPr>
              <w:pStyle w:val="28"/>
              <w:spacing w:line="240" w:lineRule="atLeast"/>
              <w:rPr>
                <w:rFonts w:hint="eastAsia" w:hAnsi="宋体" w:cs="宋体"/>
                <w:color w:val="000000"/>
                <w:kern w:val="0"/>
                <w:sz w:val="24"/>
                <w:szCs w:val="24"/>
              </w:rPr>
            </w:pPr>
          </w:p>
        </w:tc>
        <w:tc>
          <w:tcPr>
            <w:tcW w:w="456" w:type="pct"/>
            <w:vAlign w:val="center"/>
          </w:tcPr>
          <w:p w14:paraId="7AB3519B">
            <w:pPr>
              <w:pStyle w:val="28"/>
              <w:spacing w:line="240" w:lineRule="atLeast"/>
              <w:rPr>
                <w:rFonts w:hint="eastAsia" w:hAnsi="宋体" w:cs="宋体"/>
                <w:color w:val="000000"/>
                <w:kern w:val="0"/>
                <w:sz w:val="24"/>
                <w:szCs w:val="24"/>
              </w:rPr>
            </w:pPr>
          </w:p>
        </w:tc>
        <w:tc>
          <w:tcPr>
            <w:tcW w:w="1508" w:type="pct"/>
            <w:vAlign w:val="center"/>
          </w:tcPr>
          <w:p w14:paraId="4C4EA723">
            <w:pPr>
              <w:pStyle w:val="28"/>
              <w:spacing w:line="240" w:lineRule="atLeast"/>
              <w:rPr>
                <w:rFonts w:hint="eastAsia" w:hAnsi="宋体" w:cs="宋体"/>
                <w:color w:val="000000"/>
                <w:kern w:val="0"/>
                <w:sz w:val="24"/>
                <w:szCs w:val="24"/>
              </w:rPr>
            </w:pPr>
          </w:p>
        </w:tc>
      </w:tr>
    </w:tbl>
    <w:p w14:paraId="71453CB5">
      <w:pPr>
        <w:widowControl/>
        <w:jc w:val="left"/>
        <w:rPr>
          <w:rFonts w:hint="default" w:ascii="仿宋" w:hAnsi="仿宋" w:eastAsia="仿宋"/>
          <w:b/>
          <w:bCs/>
          <w:sz w:val="48"/>
          <w:szCs w:val="48"/>
          <w:lang w:val="en-US" w:eastAsia="zh-CN"/>
        </w:rPr>
      </w:pPr>
      <w:r>
        <w:rPr>
          <w:rFonts w:hint="eastAsia" w:ascii="仿宋" w:hAnsi="仿宋" w:eastAsia="仿宋"/>
          <w:sz w:val="28"/>
          <w:szCs w:val="28"/>
        </w:rPr>
        <w:br w:type="page"/>
      </w:r>
      <w:r>
        <w:rPr>
          <w:rFonts w:hint="eastAsia" w:ascii="仿宋" w:hAnsi="仿宋" w:eastAsia="仿宋"/>
          <w:sz w:val="28"/>
          <w:szCs w:val="28"/>
        </w:rPr>
        <w:t>附件8</w:t>
      </w:r>
      <w:r>
        <w:rPr>
          <w:rFonts w:ascii="仿宋" w:hAnsi="仿宋" w:eastAsia="仿宋"/>
          <w:sz w:val="28"/>
          <w:szCs w:val="28"/>
        </w:rPr>
        <w:t xml:space="preserve"> </w:t>
      </w:r>
      <w:r>
        <w:rPr>
          <w:rFonts w:hint="eastAsia" w:ascii="仿宋" w:hAnsi="仿宋" w:eastAsia="仿宋"/>
          <w:sz w:val="28"/>
          <w:szCs w:val="28"/>
        </w:rPr>
        <w:t>技术要求</w:t>
      </w:r>
      <w:bookmarkStart w:id="4" w:name="_Toc19622"/>
      <w:bookmarkStart w:id="5" w:name="_Toc8648"/>
      <w:bookmarkStart w:id="6" w:name="_Toc171089841"/>
      <w:bookmarkStart w:id="7" w:name="_Toc17596"/>
      <w:r>
        <w:rPr>
          <w:rFonts w:hint="eastAsia" w:ascii="仿宋" w:hAnsi="仿宋" w:eastAsia="仿宋"/>
          <w:sz w:val="28"/>
          <w:szCs w:val="28"/>
          <w:lang w:val="en-US" w:eastAsia="zh-CN"/>
        </w:rPr>
        <w:t xml:space="preserve">  （详见附件）</w:t>
      </w:r>
    </w:p>
    <w:bookmarkEnd w:id="4"/>
    <w:bookmarkEnd w:id="5"/>
    <w:bookmarkEnd w:id="6"/>
    <w:bookmarkEnd w:id="7"/>
    <w:p w14:paraId="78E05492">
      <w:pPr>
        <w:autoSpaceDE w:val="0"/>
        <w:autoSpaceDN w:val="0"/>
        <w:spacing w:line="360" w:lineRule="auto"/>
        <w:jc w:val="center"/>
        <w:rPr>
          <w:rFonts w:hint="eastAsia" w:ascii="黑体" w:hAnsi="黑体" w:eastAsia="黑体"/>
          <w:sz w:val="36"/>
          <w:szCs w:val="36"/>
          <w:highlight w:val="none"/>
        </w:rPr>
      </w:pPr>
      <w:bookmarkStart w:id="8" w:name="_Toc529353959"/>
      <w:bookmarkStart w:id="9" w:name="_Toc501726256"/>
      <w:bookmarkStart w:id="10" w:name="_Toc503324975"/>
      <w:bookmarkStart w:id="11" w:name="_Toc501783226"/>
      <w:bookmarkStart w:id="12" w:name="_Toc487356721"/>
      <w:bookmarkStart w:id="13" w:name="_Toc487358379"/>
    </w:p>
    <w:bookmarkEnd w:id="8"/>
    <w:bookmarkEnd w:id="9"/>
    <w:bookmarkEnd w:id="10"/>
    <w:bookmarkEnd w:id="11"/>
    <w:bookmarkEnd w:id="12"/>
    <w:bookmarkEnd w:id="13"/>
    <w:p w14:paraId="5AABE053">
      <w:pPr>
        <w:spacing w:before="120" w:beforeLines="50" w:line="360" w:lineRule="auto"/>
        <w:rPr>
          <w:rFonts w:hint="eastAsia" w:ascii="Arial" w:hAnsi="Arial" w:eastAsia="宋体" w:cs="Arial"/>
          <w:b/>
          <w:sz w:val="28"/>
          <w:highlight w:val="none"/>
          <w:lang w:val="en-US" w:eastAsia="zh-CN"/>
        </w:rPr>
      </w:pPr>
    </w:p>
    <w:p w14:paraId="01893D68">
      <w:pPr>
        <w:pStyle w:val="28"/>
        <w:spacing w:line="520" w:lineRule="exact"/>
        <w:rPr>
          <w:rFonts w:hint="eastAsia" w:ascii="宋体" w:hAnsi="宋体" w:eastAsia="宋体" w:cs="宋体"/>
          <w:snapToGrid/>
          <w:color w:val="000000"/>
          <w:spacing w:val="0"/>
          <w:kern w:val="0"/>
          <w:sz w:val="24"/>
          <w:szCs w:val="24"/>
          <w:highlight w:val="none"/>
        </w:rPr>
      </w:pPr>
    </w:p>
    <w:p w14:paraId="324E5C1C">
      <w:pPr>
        <w:pStyle w:val="28"/>
        <w:spacing w:line="520" w:lineRule="exact"/>
        <w:rPr>
          <w:rFonts w:hint="eastAsia" w:ascii="宋体" w:hAnsi="宋体" w:eastAsia="宋体" w:cs="宋体"/>
          <w:snapToGrid/>
          <w:color w:val="000000"/>
          <w:spacing w:val="0"/>
          <w:kern w:val="0"/>
          <w:sz w:val="24"/>
          <w:szCs w:val="24"/>
          <w:highlight w:val="none"/>
          <w:lang w:eastAsia="zh-CN"/>
        </w:rPr>
      </w:pPr>
    </w:p>
    <w:p w14:paraId="608E5FDF">
      <w:pPr>
        <w:spacing w:before="120" w:beforeLines="50" w:line="360" w:lineRule="auto"/>
        <w:rPr>
          <w:rFonts w:ascii="Arial" w:hAnsi="Arial" w:cs="Arial"/>
          <w:b/>
          <w:sz w:val="28"/>
        </w:rPr>
      </w:pPr>
    </w:p>
    <w:p w14:paraId="320930B0">
      <w:pPr>
        <w:spacing w:before="120" w:beforeLines="50" w:line="360" w:lineRule="auto"/>
        <w:rPr>
          <w:rFonts w:ascii="Arial" w:hAnsi="Arial" w:cs="Arial"/>
          <w:b/>
          <w:sz w:val="28"/>
        </w:rPr>
      </w:pPr>
      <w:bookmarkStart w:id="14" w:name="_Toc30133"/>
      <w:bookmarkStart w:id="15" w:name="_Toc24707"/>
    </w:p>
    <w:bookmarkEnd w:id="14"/>
    <w:bookmarkEnd w:id="15"/>
    <w:p w14:paraId="259DA9C7">
      <w:pPr>
        <w:autoSpaceDE w:val="0"/>
        <w:autoSpaceDN w:val="0"/>
        <w:spacing w:line="360" w:lineRule="auto"/>
        <w:jc w:val="center"/>
        <w:rPr>
          <w:rFonts w:hint="eastAsia" w:ascii="黑体" w:hAnsi="黑体" w:eastAsia="黑体"/>
          <w:sz w:val="36"/>
          <w:szCs w:val="36"/>
        </w:rPr>
      </w:pPr>
    </w:p>
    <w:sectPr>
      <w:headerReference r:id="rId4" w:type="default"/>
      <w:footerReference r:id="rId5" w:type="default"/>
      <w:pgSz w:w="11905" w:h="16838"/>
      <w:pgMar w:top="1417" w:right="1587" w:bottom="1304" w:left="1587" w:header="567" w:footer="850" w:gutter="0"/>
      <w:pgNumType w:start="1"/>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KSOFF9CBECC6">
    <w:panose1 w:val="02010609060101010101"/>
    <w:charset w:val="86"/>
    <w:family w:val="auto"/>
    <w:pitch w:val="default"/>
    <w:sig w:usb0="00000001"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A066">
    <w:pPr>
      <w:pStyle w:val="33"/>
    </w:pPr>
    <w:r>
      <mc:AlternateContent>
        <mc:Choice Requires="wps">
          <w:drawing>
            <wp:anchor distT="0" distB="0" distL="114300" distR="114300" simplePos="0" relativeHeight="251659264" behindDoc="0" locked="0" layoutInCell="1" allowOverlap="1">
              <wp:simplePos x="0" y="0"/>
              <wp:positionH relativeFrom="margin">
                <wp:posOffset>2815590</wp:posOffset>
              </wp:positionH>
              <wp:positionV relativeFrom="paragraph">
                <wp:posOffset>70485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9AD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left:221.7pt;margin-top:5.55pt;height:144pt;width:144pt;mso-position-horizontal-relative:margin;mso-wrap-style:none;z-index:251659264;mso-width-relative:page;mso-height-relative:page;" filled="f" stroked="f" coordsize="21600,21600" o:gfxdata="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2cg1ILw5Jixc+smoE9RcDKdUGM0bldfg8b1kPfxF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ZFFx1gAAAAoBAAAPAAAAAAAAAAEAIAAAACIAAABkcnMvZG93bnJldi54bWxQ&#10;SwECFAAUAAAACACHTuJAWlxGWcABAACNAwAADgAAAAAAAAABACAAAAAlAQAAZHJzL2Uyb0RvYy54&#10;bWxQSwUGAAAAAAYABgBZAQAAVwUAAAAA&#10;">
              <v:fill on="f" focussize="0,0"/>
              <v:stroke on="f"/>
              <v:imagedata o:title=""/>
              <o:lock v:ext="edit" aspectratio="f"/>
              <v:textbox inset="0mm,0mm,0mm,0mm" style="mso-fit-shape-to-text:t;">
                <w:txbxContent>
                  <w:p w14:paraId="7939AD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14:paraId="04FBF56D">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597862"/>
    </w:sdtPr>
    <w:sdtContent>
      <w:sdt>
        <w:sdtPr>
          <w:id w:val="1728636285"/>
        </w:sdtPr>
        <w:sdtContent>
          <w:p w14:paraId="618F5705">
            <w:pPr>
              <w:pStyle w:val="3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30A4E0E">
    <w:pPr>
      <w:pStyle w:val="33"/>
    </w:pPr>
  </w:p>
  <w:p w14:paraId="4D6156D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1F2D">
    <w:pPr>
      <w:pStyle w:val="34"/>
    </w:pPr>
    <w:r>
      <w:rPr>
        <w:rFonts w:hint="eastAsia"/>
      </w:rPr>
      <w:drawing>
        <wp:inline distT="0" distB="0" distL="114300" distR="114300">
          <wp:extent cx="306705" cy="252095"/>
          <wp:effectExtent l="0" t="0" r="17145" b="14605"/>
          <wp:docPr id="8" name="图片 10" descr="透明黑色公司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透明黑色公司Lg"/>
                  <pic:cNvPicPr>
                    <a:picLocks noChangeAspect="1"/>
                  </pic:cNvPicPr>
                </pic:nvPicPr>
                <pic:blipFill>
                  <a:blip r:embed="rId1"/>
                  <a:stretch>
                    <a:fillRect/>
                  </a:stretch>
                </pic:blipFill>
                <pic:spPr>
                  <a:xfrm>
                    <a:off x="0" y="0"/>
                    <a:ext cx="306705" cy="252095"/>
                  </a:xfrm>
                  <a:prstGeom prst="rect">
                    <a:avLst/>
                  </a:prstGeom>
                  <a:noFill/>
                  <a:ln>
                    <a:noFill/>
                  </a:ln>
                </pic:spPr>
              </pic:pic>
            </a:graphicData>
          </a:graphic>
        </wp:inline>
      </w:drawing>
    </w:r>
    <w:r>
      <w:rPr>
        <w:rFonts w:hint="eastAsia"/>
      </w:rPr>
      <w:t xml:space="preserve"> 河南万基新型建材有限公司年产2</w:t>
    </w:r>
    <w:r>
      <w:rPr>
        <w:rFonts w:ascii="Arial" w:hAnsi="Arial" w:cs="Arial"/>
      </w:rPr>
      <w:t>×</w:t>
    </w:r>
    <w:r>
      <w:rPr>
        <w:rFonts w:hint="eastAsia"/>
      </w:rPr>
      <w:t xml:space="preserve">100万方绿色节能建材项目          </w:t>
    </w:r>
    <w:r>
      <w:rPr>
        <w:rFonts w:hint="eastAsia"/>
        <w:lang w:val="en-US" w:eastAsia="zh-CN"/>
      </w:rPr>
      <w:t xml:space="preserve">                         </w:t>
    </w:r>
    <w:r>
      <w:rPr>
        <w:rFonts w:hint="eastAsia"/>
      </w:rPr>
      <w:t xml:space="preserve">     </w:t>
    </w:r>
    <w:r>
      <w:rPr>
        <w:rFonts w:hint="eastAsia"/>
        <w:lang w:val="en-US" w:eastAsia="zh-CN"/>
      </w:rPr>
      <w:t>高低压配电装置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61E1E"/>
    <w:multiLevelType w:val="multilevel"/>
    <w:tmpl w:val="07A61E1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F3DDA5"/>
    <w:multiLevelType w:val="singleLevel"/>
    <w:tmpl w:val="0EF3DDA5"/>
    <w:lvl w:ilvl="0" w:tentative="0">
      <w:start w:val="1"/>
      <w:numFmt w:val="decimal"/>
      <w:suff w:val="nothing"/>
      <w:lvlText w:val="%1、"/>
      <w:lvlJc w:val="left"/>
    </w:lvl>
  </w:abstractNum>
  <w:abstractNum w:abstractNumId="2">
    <w:nsid w:val="158C4816"/>
    <w:multiLevelType w:val="multilevel"/>
    <w:tmpl w:val="158C4816"/>
    <w:lvl w:ilvl="0" w:tentative="0">
      <w:start w:val="1"/>
      <w:numFmt w:val="decimal"/>
      <w:lvlText w:val="%1."/>
      <w:lvlJc w:val="left"/>
      <w:pPr>
        <w:ind w:left="900" w:hanging="420"/>
      </w:pPr>
      <w:rPr>
        <w:rFonts w:hint="default" w:ascii="Arial" w:hAnsi="Arial"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9452850"/>
    <w:multiLevelType w:val="multilevel"/>
    <w:tmpl w:val="19452850"/>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8E93A6A"/>
    <w:multiLevelType w:val="multilevel"/>
    <w:tmpl w:val="28E93A6A"/>
    <w:lvl w:ilvl="0" w:tentative="0">
      <w:start w:val="1"/>
      <w:numFmt w:val="decimal"/>
      <w:lvlText w:val="%1)"/>
      <w:lvlJc w:val="left"/>
      <w:pPr>
        <w:ind w:left="420" w:hanging="420"/>
      </w:pPr>
    </w:lvl>
    <w:lvl w:ilvl="1" w:tentative="0">
      <w:start w:val="1"/>
      <w:numFmt w:val="lowerLetter"/>
      <w:pStyle w:val="3"/>
      <w:lvlText w:val="%2)"/>
      <w:lvlJc w:val="left"/>
      <w:pPr>
        <w:ind w:left="840" w:hanging="420"/>
      </w:pPr>
    </w:lvl>
    <w:lvl w:ilvl="2" w:tentative="0">
      <w:start w:val="1"/>
      <w:numFmt w:val="lowerRoman"/>
      <w:pStyle w:val="4"/>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8"/>
      <w:lvlText w:val="%7."/>
      <w:lvlJc w:val="left"/>
      <w:pPr>
        <w:ind w:left="2940" w:hanging="420"/>
      </w:pPr>
    </w:lvl>
    <w:lvl w:ilvl="7" w:tentative="0">
      <w:start w:val="1"/>
      <w:numFmt w:val="lowerLetter"/>
      <w:pStyle w:val="9"/>
      <w:lvlText w:val="%8)"/>
      <w:lvlJc w:val="left"/>
      <w:pPr>
        <w:ind w:left="3360" w:hanging="420"/>
      </w:pPr>
    </w:lvl>
    <w:lvl w:ilvl="8" w:tentative="0">
      <w:start w:val="1"/>
      <w:numFmt w:val="lowerRoman"/>
      <w:pStyle w:val="10"/>
      <w:lvlText w:val="%9."/>
      <w:lvlJc w:val="right"/>
      <w:pPr>
        <w:ind w:left="3780" w:hanging="420"/>
      </w:pPr>
    </w:lvl>
  </w:abstractNum>
  <w:abstractNum w:abstractNumId="5">
    <w:nsid w:val="30D22150"/>
    <w:multiLevelType w:val="multilevel"/>
    <w:tmpl w:val="30D2215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383C274C"/>
    <w:multiLevelType w:val="multilevel"/>
    <w:tmpl w:val="383C27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97C0E02"/>
    <w:multiLevelType w:val="multilevel"/>
    <w:tmpl w:val="397C0E02"/>
    <w:lvl w:ilvl="0" w:tentative="0">
      <w:start w:val="1"/>
      <w:numFmt w:val="decimal"/>
      <w:lvlText w:val="%1."/>
      <w:lvlJc w:val="left"/>
      <w:pPr>
        <w:ind w:left="900" w:hanging="420"/>
      </w:p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A3B166E"/>
    <w:multiLevelType w:val="multilevel"/>
    <w:tmpl w:val="3A3B166E"/>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2917839"/>
    <w:multiLevelType w:val="multilevel"/>
    <w:tmpl w:val="42917839"/>
    <w:lvl w:ilvl="0" w:tentative="0">
      <w:start w:val="1"/>
      <w:numFmt w:val="decimal"/>
      <w:lvlText w:val="%1."/>
      <w:lvlJc w:val="left"/>
      <w:pPr>
        <w:ind w:left="900" w:hanging="420"/>
      </w:pPr>
      <w:rPr>
        <w:rFonts w:hint="default" w:ascii="Arial" w:hAnsi="Arial" w:eastAsia="仿宋" w:cs="Aria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4632354C"/>
    <w:multiLevelType w:val="multilevel"/>
    <w:tmpl w:val="4632354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475A12E5"/>
    <w:multiLevelType w:val="multilevel"/>
    <w:tmpl w:val="475A12E5"/>
    <w:lvl w:ilvl="0" w:tentative="0">
      <w:start w:val="1"/>
      <w:numFmt w:val="decimal"/>
      <w:lvlText w:val="4.%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0D6B76"/>
    <w:multiLevelType w:val="multilevel"/>
    <w:tmpl w:val="480D6B76"/>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4E927794"/>
    <w:multiLevelType w:val="multilevel"/>
    <w:tmpl w:val="4E927794"/>
    <w:lvl w:ilvl="0" w:tentative="0">
      <w:start w:val="1"/>
      <w:numFmt w:val="decimal"/>
      <w:lvlText w:val="1.%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1D17ED0"/>
    <w:multiLevelType w:val="multilevel"/>
    <w:tmpl w:val="51D17ED0"/>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552F2905"/>
    <w:multiLevelType w:val="multilevel"/>
    <w:tmpl w:val="552F2905"/>
    <w:lvl w:ilvl="0" w:tentative="0">
      <w:start w:val="1"/>
      <w:numFmt w:val="decimal"/>
      <w:lvlText w:val="4.%1."/>
      <w:lvlJc w:val="left"/>
      <w:pPr>
        <w:ind w:left="900" w:hanging="420"/>
      </w:pPr>
      <w:rPr>
        <w:rFonts w:hint="eastAsia"/>
      </w:rPr>
    </w:lvl>
    <w:lvl w:ilvl="1" w:tentative="0">
      <w:start w:val="1"/>
      <w:numFmt w:val="decimal"/>
      <w:lvlText w:val="4.%2."/>
      <w:lvlJc w:val="left"/>
      <w:pPr>
        <w:ind w:left="840" w:hanging="420"/>
      </w:pPr>
      <w:rPr>
        <w:rFonts w:hint="default" w:ascii="Arial" w:hAnsi="Arial" w:cs="Arial"/>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AE2622B"/>
    <w:multiLevelType w:val="multilevel"/>
    <w:tmpl w:val="5AE2622B"/>
    <w:lvl w:ilvl="0" w:tentative="0">
      <w:start w:val="1"/>
      <w:numFmt w:val="decimal"/>
      <w:lvlText w:val="2.%1."/>
      <w:lvlJc w:val="left"/>
      <w:pPr>
        <w:ind w:left="84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B0F11D4"/>
    <w:multiLevelType w:val="multilevel"/>
    <w:tmpl w:val="5B0F11D4"/>
    <w:lvl w:ilvl="0" w:tentative="0">
      <w:start w:val="1"/>
      <w:numFmt w:val="decimal"/>
      <w:lvlText w:val="3.%1."/>
      <w:lvlJc w:val="left"/>
      <w:pPr>
        <w:ind w:left="84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EC202FF"/>
    <w:multiLevelType w:val="multilevel"/>
    <w:tmpl w:val="5EC202FF"/>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647226A5"/>
    <w:multiLevelType w:val="multilevel"/>
    <w:tmpl w:val="647226A5"/>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6DE07B63"/>
    <w:multiLevelType w:val="multilevel"/>
    <w:tmpl w:val="6DE07B63"/>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6E377B2C"/>
    <w:multiLevelType w:val="multilevel"/>
    <w:tmpl w:val="6E377B2C"/>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7F5F3204"/>
    <w:multiLevelType w:val="multilevel"/>
    <w:tmpl w:val="7F5F3204"/>
    <w:lvl w:ilvl="0" w:tentative="0">
      <w:start w:val="1"/>
      <w:numFmt w:val="decimal"/>
      <w:lvlText w:val="%1."/>
      <w:lvlJc w:val="left"/>
      <w:pPr>
        <w:ind w:left="900" w:hanging="420"/>
      </w:pPr>
      <w:rPr>
        <w:rFonts w:hint="default" w:ascii="Arial" w:hAnsi="Arial" w:cs="Arial"/>
      </w:rPr>
    </w:lvl>
    <w:lvl w:ilvl="1" w:tentative="0">
      <w:start w:val="1"/>
      <w:numFmt w:val="decimalEnclosedCircle"/>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1"/>
  </w:num>
  <w:num w:numId="3">
    <w:abstractNumId w:val="2"/>
  </w:num>
  <w:num w:numId="4">
    <w:abstractNumId w:val="3"/>
  </w:num>
  <w:num w:numId="5">
    <w:abstractNumId w:val="9"/>
  </w:num>
  <w:num w:numId="6">
    <w:abstractNumId w:val="15"/>
  </w:num>
  <w:num w:numId="7">
    <w:abstractNumId w:val="5"/>
  </w:num>
  <w:num w:numId="8">
    <w:abstractNumId w:val="13"/>
  </w:num>
  <w:num w:numId="9">
    <w:abstractNumId w:val="16"/>
  </w:num>
  <w:num w:numId="10">
    <w:abstractNumId w:val="17"/>
  </w:num>
  <w:num w:numId="11">
    <w:abstractNumId w:val="11"/>
  </w:num>
  <w:num w:numId="12">
    <w:abstractNumId w:val="10"/>
  </w:num>
  <w:num w:numId="13">
    <w:abstractNumId w:val="19"/>
  </w:num>
  <w:num w:numId="14">
    <w:abstractNumId w:val="0"/>
  </w:num>
  <w:num w:numId="15">
    <w:abstractNumId w:val="18"/>
  </w:num>
  <w:num w:numId="16">
    <w:abstractNumId w:val="21"/>
  </w:num>
  <w:num w:numId="17">
    <w:abstractNumId w:val="8"/>
  </w:num>
  <w:num w:numId="18">
    <w:abstractNumId w:val="12"/>
  </w:num>
  <w:num w:numId="19">
    <w:abstractNumId w:val="22"/>
  </w:num>
  <w:num w:numId="20">
    <w:abstractNumId w:val="7"/>
  </w:num>
  <w:num w:numId="21">
    <w:abstractNumId w:val="14"/>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C3"/>
    <w:rsid w:val="000002D1"/>
    <w:rsid w:val="0000054C"/>
    <w:rsid w:val="00014958"/>
    <w:rsid w:val="00017E22"/>
    <w:rsid w:val="00020ADE"/>
    <w:rsid w:val="000255C4"/>
    <w:rsid w:val="00035243"/>
    <w:rsid w:val="00037545"/>
    <w:rsid w:val="00044C86"/>
    <w:rsid w:val="000462EA"/>
    <w:rsid w:val="00063AE7"/>
    <w:rsid w:val="000700F6"/>
    <w:rsid w:val="0007561B"/>
    <w:rsid w:val="000769D9"/>
    <w:rsid w:val="00084A8A"/>
    <w:rsid w:val="00084AF9"/>
    <w:rsid w:val="00087117"/>
    <w:rsid w:val="00092C8A"/>
    <w:rsid w:val="00093456"/>
    <w:rsid w:val="000A430E"/>
    <w:rsid w:val="000A500D"/>
    <w:rsid w:val="000A629A"/>
    <w:rsid w:val="000A63C8"/>
    <w:rsid w:val="000B11F5"/>
    <w:rsid w:val="000B3BC6"/>
    <w:rsid w:val="000B4A68"/>
    <w:rsid w:val="000B5329"/>
    <w:rsid w:val="000C1544"/>
    <w:rsid w:val="000C1A5C"/>
    <w:rsid w:val="000D148B"/>
    <w:rsid w:val="000D533B"/>
    <w:rsid w:val="000E227E"/>
    <w:rsid w:val="000E541B"/>
    <w:rsid w:val="000F09EB"/>
    <w:rsid w:val="00100ADC"/>
    <w:rsid w:val="00111FD6"/>
    <w:rsid w:val="00114267"/>
    <w:rsid w:val="00122D0C"/>
    <w:rsid w:val="00123226"/>
    <w:rsid w:val="001245FC"/>
    <w:rsid w:val="00125F20"/>
    <w:rsid w:val="00135396"/>
    <w:rsid w:val="00136430"/>
    <w:rsid w:val="00143BAB"/>
    <w:rsid w:val="00147F6D"/>
    <w:rsid w:val="00152308"/>
    <w:rsid w:val="00154328"/>
    <w:rsid w:val="0016055D"/>
    <w:rsid w:val="00162169"/>
    <w:rsid w:val="0016550A"/>
    <w:rsid w:val="00172A27"/>
    <w:rsid w:val="00177B74"/>
    <w:rsid w:val="00182FF4"/>
    <w:rsid w:val="001905BF"/>
    <w:rsid w:val="00192F8A"/>
    <w:rsid w:val="001A0605"/>
    <w:rsid w:val="001A2335"/>
    <w:rsid w:val="001B1ED6"/>
    <w:rsid w:val="001B355C"/>
    <w:rsid w:val="001B4416"/>
    <w:rsid w:val="001B464F"/>
    <w:rsid w:val="001B7F79"/>
    <w:rsid w:val="001C149E"/>
    <w:rsid w:val="001C3096"/>
    <w:rsid w:val="001C457B"/>
    <w:rsid w:val="001D19C8"/>
    <w:rsid w:val="001D7473"/>
    <w:rsid w:val="001D75CF"/>
    <w:rsid w:val="001F521D"/>
    <w:rsid w:val="00203B08"/>
    <w:rsid w:val="002212E4"/>
    <w:rsid w:val="00221998"/>
    <w:rsid w:val="00221C74"/>
    <w:rsid w:val="002234D1"/>
    <w:rsid w:val="00225820"/>
    <w:rsid w:val="00226350"/>
    <w:rsid w:val="00234734"/>
    <w:rsid w:val="002414A5"/>
    <w:rsid w:val="002502DE"/>
    <w:rsid w:val="00250DF9"/>
    <w:rsid w:val="00253C49"/>
    <w:rsid w:val="00255C5F"/>
    <w:rsid w:val="00262E70"/>
    <w:rsid w:val="00263566"/>
    <w:rsid w:val="00264FE9"/>
    <w:rsid w:val="00265237"/>
    <w:rsid w:val="00266D97"/>
    <w:rsid w:val="00271100"/>
    <w:rsid w:val="00284C11"/>
    <w:rsid w:val="00286D83"/>
    <w:rsid w:val="00294589"/>
    <w:rsid w:val="00296F40"/>
    <w:rsid w:val="002A15E8"/>
    <w:rsid w:val="002A5FD4"/>
    <w:rsid w:val="002A7572"/>
    <w:rsid w:val="002B3C6F"/>
    <w:rsid w:val="002C13E5"/>
    <w:rsid w:val="002C3BBA"/>
    <w:rsid w:val="002D109A"/>
    <w:rsid w:val="002D1AAA"/>
    <w:rsid w:val="002D25FD"/>
    <w:rsid w:val="002D4581"/>
    <w:rsid w:val="002F446C"/>
    <w:rsid w:val="002F6B88"/>
    <w:rsid w:val="003008A2"/>
    <w:rsid w:val="00304A01"/>
    <w:rsid w:val="0030764D"/>
    <w:rsid w:val="00310108"/>
    <w:rsid w:val="003126F9"/>
    <w:rsid w:val="003132F4"/>
    <w:rsid w:val="00314435"/>
    <w:rsid w:val="00316343"/>
    <w:rsid w:val="00316EC2"/>
    <w:rsid w:val="00317329"/>
    <w:rsid w:val="00320E60"/>
    <w:rsid w:val="00331411"/>
    <w:rsid w:val="00333B55"/>
    <w:rsid w:val="00340DAE"/>
    <w:rsid w:val="0034757B"/>
    <w:rsid w:val="00353F32"/>
    <w:rsid w:val="00361537"/>
    <w:rsid w:val="003638EC"/>
    <w:rsid w:val="00367FE6"/>
    <w:rsid w:val="0037176B"/>
    <w:rsid w:val="003717D7"/>
    <w:rsid w:val="00372471"/>
    <w:rsid w:val="00372777"/>
    <w:rsid w:val="003751FF"/>
    <w:rsid w:val="003829EE"/>
    <w:rsid w:val="0038572F"/>
    <w:rsid w:val="00387328"/>
    <w:rsid w:val="0039510B"/>
    <w:rsid w:val="0039674B"/>
    <w:rsid w:val="0039714B"/>
    <w:rsid w:val="003A0DCC"/>
    <w:rsid w:val="003A3FAE"/>
    <w:rsid w:val="003A4966"/>
    <w:rsid w:val="003B2CBC"/>
    <w:rsid w:val="003B2DF9"/>
    <w:rsid w:val="003C2F57"/>
    <w:rsid w:val="003D6693"/>
    <w:rsid w:val="003E18FD"/>
    <w:rsid w:val="003F2CE9"/>
    <w:rsid w:val="004020C5"/>
    <w:rsid w:val="00407541"/>
    <w:rsid w:val="00420519"/>
    <w:rsid w:val="0043176C"/>
    <w:rsid w:val="00433169"/>
    <w:rsid w:val="00433ADF"/>
    <w:rsid w:val="00435497"/>
    <w:rsid w:val="00436A5A"/>
    <w:rsid w:val="00441FBA"/>
    <w:rsid w:val="00446EA7"/>
    <w:rsid w:val="00457BC3"/>
    <w:rsid w:val="00460296"/>
    <w:rsid w:val="00461DE5"/>
    <w:rsid w:val="00463ACF"/>
    <w:rsid w:val="004648CE"/>
    <w:rsid w:val="00465C67"/>
    <w:rsid w:val="00470A4A"/>
    <w:rsid w:val="004710CA"/>
    <w:rsid w:val="00471A96"/>
    <w:rsid w:val="00473BB6"/>
    <w:rsid w:val="00476A3A"/>
    <w:rsid w:val="00490210"/>
    <w:rsid w:val="004908D8"/>
    <w:rsid w:val="004944CA"/>
    <w:rsid w:val="00495471"/>
    <w:rsid w:val="004B0881"/>
    <w:rsid w:val="004B45F2"/>
    <w:rsid w:val="004C3A41"/>
    <w:rsid w:val="004D2674"/>
    <w:rsid w:val="004D2CAC"/>
    <w:rsid w:val="004D5E99"/>
    <w:rsid w:val="004E1F47"/>
    <w:rsid w:val="004E2187"/>
    <w:rsid w:val="004E3186"/>
    <w:rsid w:val="004E59FB"/>
    <w:rsid w:val="004F0BB3"/>
    <w:rsid w:val="004F367A"/>
    <w:rsid w:val="004F7266"/>
    <w:rsid w:val="00503B03"/>
    <w:rsid w:val="00506F70"/>
    <w:rsid w:val="00512D88"/>
    <w:rsid w:val="00514613"/>
    <w:rsid w:val="00517F36"/>
    <w:rsid w:val="005245C8"/>
    <w:rsid w:val="005250A0"/>
    <w:rsid w:val="00530851"/>
    <w:rsid w:val="005311A5"/>
    <w:rsid w:val="005374D9"/>
    <w:rsid w:val="00537699"/>
    <w:rsid w:val="005410FE"/>
    <w:rsid w:val="00541729"/>
    <w:rsid w:val="00542117"/>
    <w:rsid w:val="00544ADB"/>
    <w:rsid w:val="005451C0"/>
    <w:rsid w:val="005549E6"/>
    <w:rsid w:val="00555326"/>
    <w:rsid w:val="00564C6A"/>
    <w:rsid w:val="005656DA"/>
    <w:rsid w:val="0056634D"/>
    <w:rsid w:val="0057392F"/>
    <w:rsid w:val="0057602D"/>
    <w:rsid w:val="00580C8E"/>
    <w:rsid w:val="00590606"/>
    <w:rsid w:val="005A12BF"/>
    <w:rsid w:val="005A2E0E"/>
    <w:rsid w:val="005A5382"/>
    <w:rsid w:val="005A68F0"/>
    <w:rsid w:val="005B2B65"/>
    <w:rsid w:val="005C0154"/>
    <w:rsid w:val="005C1918"/>
    <w:rsid w:val="005C4626"/>
    <w:rsid w:val="005D0195"/>
    <w:rsid w:val="005D1531"/>
    <w:rsid w:val="005D356E"/>
    <w:rsid w:val="005D5424"/>
    <w:rsid w:val="005D5EC3"/>
    <w:rsid w:val="005D7384"/>
    <w:rsid w:val="005E369F"/>
    <w:rsid w:val="005F0514"/>
    <w:rsid w:val="005F250E"/>
    <w:rsid w:val="005F2C9B"/>
    <w:rsid w:val="005F2EC3"/>
    <w:rsid w:val="0060755D"/>
    <w:rsid w:val="006138F0"/>
    <w:rsid w:val="00621922"/>
    <w:rsid w:val="00631F12"/>
    <w:rsid w:val="00633F47"/>
    <w:rsid w:val="00636282"/>
    <w:rsid w:val="00637B31"/>
    <w:rsid w:val="0064219E"/>
    <w:rsid w:val="00642C82"/>
    <w:rsid w:val="00643A60"/>
    <w:rsid w:val="00643C2B"/>
    <w:rsid w:val="00645C47"/>
    <w:rsid w:val="006505E8"/>
    <w:rsid w:val="00650AE9"/>
    <w:rsid w:val="00651544"/>
    <w:rsid w:val="00656CBF"/>
    <w:rsid w:val="0067632C"/>
    <w:rsid w:val="00676C11"/>
    <w:rsid w:val="006807F0"/>
    <w:rsid w:val="006830DD"/>
    <w:rsid w:val="00683D50"/>
    <w:rsid w:val="00683DB8"/>
    <w:rsid w:val="00686774"/>
    <w:rsid w:val="006915CC"/>
    <w:rsid w:val="006977F5"/>
    <w:rsid w:val="006A16E8"/>
    <w:rsid w:val="006A71E2"/>
    <w:rsid w:val="006C0AD7"/>
    <w:rsid w:val="006C0D2C"/>
    <w:rsid w:val="006C57FC"/>
    <w:rsid w:val="006C5E55"/>
    <w:rsid w:val="006D1C7F"/>
    <w:rsid w:val="006E1A10"/>
    <w:rsid w:val="006E60DD"/>
    <w:rsid w:val="006F3196"/>
    <w:rsid w:val="006F5130"/>
    <w:rsid w:val="006F5F71"/>
    <w:rsid w:val="00704A18"/>
    <w:rsid w:val="00706CAD"/>
    <w:rsid w:val="0071702B"/>
    <w:rsid w:val="00717791"/>
    <w:rsid w:val="00724B8F"/>
    <w:rsid w:val="00727848"/>
    <w:rsid w:val="00734694"/>
    <w:rsid w:val="007538CA"/>
    <w:rsid w:val="007561F1"/>
    <w:rsid w:val="007641DF"/>
    <w:rsid w:val="0076591A"/>
    <w:rsid w:val="00770BF6"/>
    <w:rsid w:val="0077126E"/>
    <w:rsid w:val="00771B23"/>
    <w:rsid w:val="00773286"/>
    <w:rsid w:val="00774FCB"/>
    <w:rsid w:val="00776371"/>
    <w:rsid w:val="00776876"/>
    <w:rsid w:val="00780F4D"/>
    <w:rsid w:val="00782EEE"/>
    <w:rsid w:val="00796ECA"/>
    <w:rsid w:val="007A0B55"/>
    <w:rsid w:val="007B1C1F"/>
    <w:rsid w:val="007B20A3"/>
    <w:rsid w:val="007B426B"/>
    <w:rsid w:val="007B7CD7"/>
    <w:rsid w:val="007C0605"/>
    <w:rsid w:val="007C2853"/>
    <w:rsid w:val="007C393C"/>
    <w:rsid w:val="007C4F09"/>
    <w:rsid w:val="007C7177"/>
    <w:rsid w:val="007C78BA"/>
    <w:rsid w:val="007E4C18"/>
    <w:rsid w:val="007F10B8"/>
    <w:rsid w:val="007F123A"/>
    <w:rsid w:val="007F15C6"/>
    <w:rsid w:val="007F7060"/>
    <w:rsid w:val="00804617"/>
    <w:rsid w:val="008069F5"/>
    <w:rsid w:val="0081003B"/>
    <w:rsid w:val="00810A00"/>
    <w:rsid w:val="00812846"/>
    <w:rsid w:val="00820777"/>
    <w:rsid w:val="00827124"/>
    <w:rsid w:val="00827856"/>
    <w:rsid w:val="00834292"/>
    <w:rsid w:val="00834E46"/>
    <w:rsid w:val="00840153"/>
    <w:rsid w:val="00862764"/>
    <w:rsid w:val="00864515"/>
    <w:rsid w:val="0086527F"/>
    <w:rsid w:val="008711A6"/>
    <w:rsid w:val="008712B6"/>
    <w:rsid w:val="00875A6C"/>
    <w:rsid w:val="00877F0C"/>
    <w:rsid w:val="008961F2"/>
    <w:rsid w:val="008A1037"/>
    <w:rsid w:val="008A30DB"/>
    <w:rsid w:val="008A402C"/>
    <w:rsid w:val="008A4D95"/>
    <w:rsid w:val="008B2B82"/>
    <w:rsid w:val="008B4000"/>
    <w:rsid w:val="008B4059"/>
    <w:rsid w:val="008C032A"/>
    <w:rsid w:val="008C5908"/>
    <w:rsid w:val="008D1E20"/>
    <w:rsid w:val="008F16D6"/>
    <w:rsid w:val="008F46E1"/>
    <w:rsid w:val="009109D9"/>
    <w:rsid w:val="0091258E"/>
    <w:rsid w:val="00915112"/>
    <w:rsid w:val="00916ED8"/>
    <w:rsid w:val="00917F7F"/>
    <w:rsid w:val="00920AA4"/>
    <w:rsid w:val="00926538"/>
    <w:rsid w:val="0093226E"/>
    <w:rsid w:val="00932694"/>
    <w:rsid w:val="00937FCC"/>
    <w:rsid w:val="009453DC"/>
    <w:rsid w:val="009535D6"/>
    <w:rsid w:val="009567EC"/>
    <w:rsid w:val="009630BB"/>
    <w:rsid w:val="00964163"/>
    <w:rsid w:val="00967417"/>
    <w:rsid w:val="009724DD"/>
    <w:rsid w:val="00972CB7"/>
    <w:rsid w:val="00973C7A"/>
    <w:rsid w:val="00974939"/>
    <w:rsid w:val="00975B53"/>
    <w:rsid w:val="009765FF"/>
    <w:rsid w:val="00976EBC"/>
    <w:rsid w:val="00981B2D"/>
    <w:rsid w:val="00982B8E"/>
    <w:rsid w:val="00984DB1"/>
    <w:rsid w:val="00987C5C"/>
    <w:rsid w:val="0099002E"/>
    <w:rsid w:val="009909DE"/>
    <w:rsid w:val="00997A4D"/>
    <w:rsid w:val="00997DF3"/>
    <w:rsid w:val="009A2E3C"/>
    <w:rsid w:val="009A3B4E"/>
    <w:rsid w:val="009A4D70"/>
    <w:rsid w:val="009B601C"/>
    <w:rsid w:val="009B6514"/>
    <w:rsid w:val="009B6811"/>
    <w:rsid w:val="009C1EC6"/>
    <w:rsid w:val="009C38FA"/>
    <w:rsid w:val="009C6F49"/>
    <w:rsid w:val="009C76D4"/>
    <w:rsid w:val="009D2D3D"/>
    <w:rsid w:val="009E0BC0"/>
    <w:rsid w:val="009E3319"/>
    <w:rsid w:val="009E583C"/>
    <w:rsid w:val="009F0AF0"/>
    <w:rsid w:val="00A02A81"/>
    <w:rsid w:val="00A0726A"/>
    <w:rsid w:val="00A10171"/>
    <w:rsid w:val="00A10E90"/>
    <w:rsid w:val="00A1288E"/>
    <w:rsid w:val="00A16A7C"/>
    <w:rsid w:val="00A17B8F"/>
    <w:rsid w:val="00A17EFF"/>
    <w:rsid w:val="00A21B5B"/>
    <w:rsid w:val="00A25D33"/>
    <w:rsid w:val="00A25DB0"/>
    <w:rsid w:val="00A43126"/>
    <w:rsid w:val="00A5525B"/>
    <w:rsid w:val="00A64FB2"/>
    <w:rsid w:val="00A65595"/>
    <w:rsid w:val="00A74369"/>
    <w:rsid w:val="00A7470F"/>
    <w:rsid w:val="00A75856"/>
    <w:rsid w:val="00A80992"/>
    <w:rsid w:val="00A85038"/>
    <w:rsid w:val="00A85F00"/>
    <w:rsid w:val="00A928B7"/>
    <w:rsid w:val="00AA5CC0"/>
    <w:rsid w:val="00AA6330"/>
    <w:rsid w:val="00AB1253"/>
    <w:rsid w:val="00AB36FB"/>
    <w:rsid w:val="00AB76B6"/>
    <w:rsid w:val="00AB792C"/>
    <w:rsid w:val="00AC2570"/>
    <w:rsid w:val="00AC54D9"/>
    <w:rsid w:val="00AD0EE3"/>
    <w:rsid w:val="00AD37F1"/>
    <w:rsid w:val="00AD3ADF"/>
    <w:rsid w:val="00AE4A62"/>
    <w:rsid w:val="00AF165E"/>
    <w:rsid w:val="00AF4F2D"/>
    <w:rsid w:val="00B01ED5"/>
    <w:rsid w:val="00B149F8"/>
    <w:rsid w:val="00B15581"/>
    <w:rsid w:val="00B25FE9"/>
    <w:rsid w:val="00B2664C"/>
    <w:rsid w:val="00B32A94"/>
    <w:rsid w:val="00B35A13"/>
    <w:rsid w:val="00B35A1D"/>
    <w:rsid w:val="00B43342"/>
    <w:rsid w:val="00B553B7"/>
    <w:rsid w:val="00B63370"/>
    <w:rsid w:val="00B710D8"/>
    <w:rsid w:val="00B71E11"/>
    <w:rsid w:val="00B7342C"/>
    <w:rsid w:val="00B76186"/>
    <w:rsid w:val="00B777F8"/>
    <w:rsid w:val="00B832DC"/>
    <w:rsid w:val="00B90678"/>
    <w:rsid w:val="00B91A45"/>
    <w:rsid w:val="00B92639"/>
    <w:rsid w:val="00BA0789"/>
    <w:rsid w:val="00BA75DD"/>
    <w:rsid w:val="00BB5A35"/>
    <w:rsid w:val="00BB6450"/>
    <w:rsid w:val="00BC0710"/>
    <w:rsid w:val="00BC39C3"/>
    <w:rsid w:val="00BD3513"/>
    <w:rsid w:val="00BD4458"/>
    <w:rsid w:val="00BE03F0"/>
    <w:rsid w:val="00BE09FA"/>
    <w:rsid w:val="00BE5DF7"/>
    <w:rsid w:val="00BE75A7"/>
    <w:rsid w:val="00BF0614"/>
    <w:rsid w:val="00BF1B12"/>
    <w:rsid w:val="00C12F21"/>
    <w:rsid w:val="00C23934"/>
    <w:rsid w:val="00C23A41"/>
    <w:rsid w:val="00C26C29"/>
    <w:rsid w:val="00C30045"/>
    <w:rsid w:val="00C3022A"/>
    <w:rsid w:val="00C31583"/>
    <w:rsid w:val="00C32279"/>
    <w:rsid w:val="00C376AB"/>
    <w:rsid w:val="00C424A1"/>
    <w:rsid w:val="00C424C9"/>
    <w:rsid w:val="00C42E43"/>
    <w:rsid w:val="00C46F5D"/>
    <w:rsid w:val="00C5479F"/>
    <w:rsid w:val="00C572E2"/>
    <w:rsid w:val="00C57392"/>
    <w:rsid w:val="00C61042"/>
    <w:rsid w:val="00C61453"/>
    <w:rsid w:val="00C715B6"/>
    <w:rsid w:val="00C81F73"/>
    <w:rsid w:val="00C834D2"/>
    <w:rsid w:val="00C85787"/>
    <w:rsid w:val="00C871C4"/>
    <w:rsid w:val="00C93189"/>
    <w:rsid w:val="00C93F19"/>
    <w:rsid w:val="00CA7B36"/>
    <w:rsid w:val="00CB0ED3"/>
    <w:rsid w:val="00CB61CC"/>
    <w:rsid w:val="00CC3F31"/>
    <w:rsid w:val="00CC4A26"/>
    <w:rsid w:val="00CD1570"/>
    <w:rsid w:val="00CD4AC4"/>
    <w:rsid w:val="00CE4C1D"/>
    <w:rsid w:val="00CF096D"/>
    <w:rsid w:val="00D04461"/>
    <w:rsid w:val="00D1042D"/>
    <w:rsid w:val="00D20D7E"/>
    <w:rsid w:val="00D33AD7"/>
    <w:rsid w:val="00D43277"/>
    <w:rsid w:val="00D44125"/>
    <w:rsid w:val="00D52617"/>
    <w:rsid w:val="00D57478"/>
    <w:rsid w:val="00D62932"/>
    <w:rsid w:val="00D65618"/>
    <w:rsid w:val="00D66EB4"/>
    <w:rsid w:val="00D73883"/>
    <w:rsid w:val="00D76171"/>
    <w:rsid w:val="00D773A6"/>
    <w:rsid w:val="00D81B4E"/>
    <w:rsid w:val="00D82864"/>
    <w:rsid w:val="00D86B26"/>
    <w:rsid w:val="00D876A2"/>
    <w:rsid w:val="00D92069"/>
    <w:rsid w:val="00D9350D"/>
    <w:rsid w:val="00D95280"/>
    <w:rsid w:val="00D97434"/>
    <w:rsid w:val="00D97C38"/>
    <w:rsid w:val="00DB093A"/>
    <w:rsid w:val="00DB12F0"/>
    <w:rsid w:val="00DB3C3C"/>
    <w:rsid w:val="00DB3FC8"/>
    <w:rsid w:val="00DC0037"/>
    <w:rsid w:val="00DC48E9"/>
    <w:rsid w:val="00DD3904"/>
    <w:rsid w:val="00DD3923"/>
    <w:rsid w:val="00DD584F"/>
    <w:rsid w:val="00DE2E07"/>
    <w:rsid w:val="00DE33FA"/>
    <w:rsid w:val="00DF48A9"/>
    <w:rsid w:val="00E00B22"/>
    <w:rsid w:val="00E02A60"/>
    <w:rsid w:val="00E11A29"/>
    <w:rsid w:val="00E14695"/>
    <w:rsid w:val="00E1496A"/>
    <w:rsid w:val="00E24362"/>
    <w:rsid w:val="00E25B5D"/>
    <w:rsid w:val="00E31C78"/>
    <w:rsid w:val="00E32360"/>
    <w:rsid w:val="00E43448"/>
    <w:rsid w:val="00E44428"/>
    <w:rsid w:val="00E44910"/>
    <w:rsid w:val="00E54AF1"/>
    <w:rsid w:val="00E616C7"/>
    <w:rsid w:val="00E622B8"/>
    <w:rsid w:val="00E63105"/>
    <w:rsid w:val="00E85F6D"/>
    <w:rsid w:val="00E93231"/>
    <w:rsid w:val="00EA1517"/>
    <w:rsid w:val="00EA37D3"/>
    <w:rsid w:val="00EA4AD0"/>
    <w:rsid w:val="00EA568D"/>
    <w:rsid w:val="00EA683A"/>
    <w:rsid w:val="00EA6F8D"/>
    <w:rsid w:val="00EB1D8B"/>
    <w:rsid w:val="00EB6171"/>
    <w:rsid w:val="00ED3CAC"/>
    <w:rsid w:val="00ED4C1A"/>
    <w:rsid w:val="00EE5910"/>
    <w:rsid w:val="00EE7275"/>
    <w:rsid w:val="00F03554"/>
    <w:rsid w:val="00F0444A"/>
    <w:rsid w:val="00F0737A"/>
    <w:rsid w:val="00F12579"/>
    <w:rsid w:val="00F13981"/>
    <w:rsid w:val="00F13D31"/>
    <w:rsid w:val="00F21827"/>
    <w:rsid w:val="00F23549"/>
    <w:rsid w:val="00F26667"/>
    <w:rsid w:val="00F33C8A"/>
    <w:rsid w:val="00F34535"/>
    <w:rsid w:val="00F35046"/>
    <w:rsid w:val="00F35CA8"/>
    <w:rsid w:val="00F400EB"/>
    <w:rsid w:val="00F40707"/>
    <w:rsid w:val="00F410B5"/>
    <w:rsid w:val="00F5047C"/>
    <w:rsid w:val="00F5089F"/>
    <w:rsid w:val="00F51681"/>
    <w:rsid w:val="00F53000"/>
    <w:rsid w:val="00F6074A"/>
    <w:rsid w:val="00F6134D"/>
    <w:rsid w:val="00F61E16"/>
    <w:rsid w:val="00F62791"/>
    <w:rsid w:val="00F6289C"/>
    <w:rsid w:val="00F65A93"/>
    <w:rsid w:val="00F75F38"/>
    <w:rsid w:val="00F81EDD"/>
    <w:rsid w:val="00F82837"/>
    <w:rsid w:val="00F9010D"/>
    <w:rsid w:val="00F946CF"/>
    <w:rsid w:val="00FA0B77"/>
    <w:rsid w:val="00FA6C59"/>
    <w:rsid w:val="00FB2514"/>
    <w:rsid w:val="00FC4E14"/>
    <w:rsid w:val="00FC60C8"/>
    <w:rsid w:val="00FD2F20"/>
    <w:rsid w:val="00FD6147"/>
    <w:rsid w:val="00FD6BCE"/>
    <w:rsid w:val="00FE4805"/>
    <w:rsid w:val="00FE4EB3"/>
    <w:rsid w:val="00FE5C3C"/>
    <w:rsid w:val="00FF1F0B"/>
    <w:rsid w:val="00FF1FE2"/>
    <w:rsid w:val="00FF5480"/>
    <w:rsid w:val="00FF6650"/>
    <w:rsid w:val="00FF685D"/>
    <w:rsid w:val="00FF7DB8"/>
    <w:rsid w:val="01140A4A"/>
    <w:rsid w:val="01192921"/>
    <w:rsid w:val="0120047D"/>
    <w:rsid w:val="012817D9"/>
    <w:rsid w:val="01317F77"/>
    <w:rsid w:val="014276B1"/>
    <w:rsid w:val="018174F1"/>
    <w:rsid w:val="018221DE"/>
    <w:rsid w:val="0195213C"/>
    <w:rsid w:val="01A6074F"/>
    <w:rsid w:val="01A74DE0"/>
    <w:rsid w:val="01AA1D1B"/>
    <w:rsid w:val="01D67006"/>
    <w:rsid w:val="02006853"/>
    <w:rsid w:val="02017C95"/>
    <w:rsid w:val="02770771"/>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2849C9"/>
    <w:rsid w:val="103E032B"/>
    <w:rsid w:val="10821871"/>
    <w:rsid w:val="10C74A23"/>
    <w:rsid w:val="10CC1DBF"/>
    <w:rsid w:val="11211A6D"/>
    <w:rsid w:val="11386251"/>
    <w:rsid w:val="114802A7"/>
    <w:rsid w:val="115D2A58"/>
    <w:rsid w:val="11DD1F0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BF3D25"/>
    <w:rsid w:val="19D835AD"/>
    <w:rsid w:val="1A205FEB"/>
    <w:rsid w:val="1A5B3353"/>
    <w:rsid w:val="1ABA1161"/>
    <w:rsid w:val="1AD34E18"/>
    <w:rsid w:val="1B3217E8"/>
    <w:rsid w:val="1B4C4DCA"/>
    <w:rsid w:val="1C3703E0"/>
    <w:rsid w:val="1CC65580"/>
    <w:rsid w:val="1CFB6C8F"/>
    <w:rsid w:val="1D1E653A"/>
    <w:rsid w:val="1D4D6783"/>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863FD8"/>
    <w:rsid w:val="23CE32DB"/>
    <w:rsid w:val="23DD3304"/>
    <w:rsid w:val="23EF26C8"/>
    <w:rsid w:val="23FB0F6A"/>
    <w:rsid w:val="23FE38C9"/>
    <w:rsid w:val="241829B1"/>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732FEC"/>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40D9F"/>
    <w:rsid w:val="344B7329"/>
    <w:rsid w:val="35397363"/>
    <w:rsid w:val="35661651"/>
    <w:rsid w:val="363E4677"/>
    <w:rsid w:val="36944DEE"/>
    <w:rsid w:val="36BB6818"/>
    <w:rsid w:val="36D61C82"/>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0E637E"/>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351166"/>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9B85CA7"/>
    <w:rsid w:val="59E95784"/>
    <w:rsid w:val="5A1F4052"/>
    <w:rsid w:val="5A260312"/>
    <w:rsid w:val="5A41520F"/>
    <w:rsid w:val="5A456F85"/>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1A40227"/>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EC2CF1"/>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1"/>
    <w:qFormat/>
    <w:uiPriority w:val="0"/>
    <w:pPr>
      <w:keepNext/>
      <w:topLinePunct/>
      <w:ind w:left="360"/>
      <w:outlineLvl w:val="0"/>
    </w:pPr>
    <w:rPr>
      <w:sz w:val="28"/>
    </w:rPr>
  </w:style>
  <w:style w:type="paragraph" w:styleId="3">
    <w:name w:val="heading 2"/>
    <w:basedOn w:val="1"/>
    <w:next w:val="1"/>
    <w:link w:val="6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63"/>
    <w:qFormat/>
    <w:uiPriority w:val="0"/>
    <w:pPr>
      <w:keepNext/>
      <w:keepLines/>
      <w:numPr>
        <w:ilvl w:val="2"/>
        <w:numId w:val="1"/>
      </w:numPr>
      <w:adjustRightInd w:val="0"/>
      <w:spacing w:before="260" w:after="260" w:line="416" w:lineRule="atLeast"/>
      <w:jc w:val="left"/>
      <w:textAlignment w:val="baseline"/>
      <w:outlineLvl w:val="2"/>
    </w:pPr>
    <w:rPr>
      <w:b/>
      <w:kern w:val="0"/>
      <w:sz w:val="32"/>
    </w:rPr>
  </w:style>
  <w:style w:type="paragraph" w:styleId="5">
    <w:name w:val="heading 4"/>
    <w:basedOn w:val="1"/>
    <w:next w:val="1"/>
    <w:link w:val="6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5"/>
    <w:basedOn w:val="1"/>
    <w:next w:val="1"/>
    <w:link w:val="65"/>
    <w:qFormat/>
    <w:uiPriority w:val="0"/>
    <w:pPr>
      <w:keepNext/>
      <w:keepLines/>
      <w:numPr>
        <w:ilvl w:val="4"/>
        <w:numId w:val="1"/>
      </w:numPr>
      <w:adjustRightInd w:val="0"/>
      <w:spacing w:before="280" w:after="290" w:line="376" w:lineRule="atLeast"/>
      <w:jc w:val="left"/>
      <w:textAlignment w:val="baseline"/>
      <w:outlineLvl w:val="4"/>
    </w:pPr>
    <w:rPr>
      <w:b/>
      <w:kern w:val="0"/>
      <w:sz w:val="28"/>
    </w:rPr>
  </w:style>
  <w:style w:type="paragraph" w:styleId="7">
    <w:name w:val="heading 6"/>
    <w:basedOn w:val="1"/>
    <w:next w:val="1"/>
    <w:link w:val="66"/>
    <w:qFormat/>
    <w:uiPriority w:val="0"/>
    <w:pPr>
      <w:keepNext/>
      <w:keepLines/>
      <w:numPr>
        <w:ilvl w:val="5"/>
        <w:numId w:val="1"/>
      </w:numPr>
      <w:adjustRightInd w:val="0"/>
      <w:spacing w:before="240" w:after="64" w:line="320" w:lineRule="atLeast"/>
      <w:jc w:val="left"/>
      <w:textAlignment w:val="baseline"/>
      <w:outlineLvl w:val="5"/>
    </w:pPr>
    <w:rPr>
      <w:rFonts w:ascii="Arial" w:hAnsi="Arial" w:eastAsia="黑体"/>
      <w:b/>
      <w:kern w:val="0"/>
      <w:sz w:val="24"/>
    </w:rPr>
  </w:style>
  <w:style w:type="paragraph" w:styleId="8">
    <w:name w:val="heading 7"/>
    <w:basedOn w:val="1"/>
    <w:next w:val="1"/>
    <w:link w:val="67"/>
    <w:qFormat/>
    <w:uiPriority w:val="0"/>
    <w:pPr>
      <w:keepNext/>
      <w:keepLines/>
      <w:numPr>
        <w:ilvl w:val="6"/>
        <w:numId w:val="1"/>
      </w:numPr>
      <w:adjustRightInd w:val="0"/>
      <w:spacing w:before="240" w:after="64" w:line="320" w:lineRule="atLeast"/>
      <w:jc w:val="left"/>
      <w:textAlignment w:val="baseline"/>
      <w:outlineLvl w:val="6"/>
    </w:pPr>
    <w:rPr>
      <w:b/>
      <w:kern w:val="0"/>
      <w:sz w:val="24"/>
    </w:rPr>
  </w:style>
  <w:style w:type="paragraph" w:styleId="9">
    <w:name w:val="heading 8"/>
    <w:basedOn w:val="1"/>
    <w:next w:val="1"/>
    <w:link w:val="68"/>
    <w:qFormat/>
    <w:uiPriority w:val="0"/>
    <w:pPr>
      <w:keepNext/>
      <w:keepLines/>
      <w:numPr>
        <w:ilvl w:val="7"/>
        <w:numId w:val="1"/>
      </w:numPr>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9"/>
    <w:qFormat/>
    <w:uiPriority w:val="0"/>
    <w:pPr>
      <w:keepNext/>
      <w:keepLines/>
      <w:numPr>
        <w:ilvl w:val="8"/>
        <w:numId w:val="1"/>
      </w:numPr>
      <w:adjustRightInd w:val="0"/>
      <w:spacing w:before="240" w:after="64" w:line="320" w:lineRule="atLeast"/>
      <w:jc w:val="left"/>
      <w:textAlignment w:val="baseline"/>
      <w:outlineLvl w:val="8"/>
    </w:pPr>
    <w:rPr>
      <w:rFonts w:ascii="Arial" w:hAnsi="Arial" w:eastAsia="黑体"/>
      <w:kern w:val="0"/>
      <w:sz w:val="24"/>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szCs w:val="24"/>
    </w:rPr>
  </w:style>
  <w:style w:type="paragraph" w:styleId="12">
    <w:name w:val="List Number 2"/>
    <w:basedOn w:val="13"/>
    <w:qFormat/>
    <w:uiPriority w:val="0"/>
    <w:pPr>
      <w:ind w:left="720" w:hanging="720"/>
    </w:pPr>
  </w:style>
  <w:style w:type="paragraph" w:styleId="13">
    <w:name w:val="List Number"/>
    <w:basedOn w:val="14"/>
    <w:qFormat/>
    <w:uiPriority w:val="0"/>
    <w:pPr>
      <w:spacing w:after="220" w:line="220" w:lineRule="atLeast"/>
      <w:ind w:left="1800" w:right="720" w:hanging="360"/>
    </w:pPr>
    <w:rPr>
      <w:spacing w:val="-4"/>
    </w:rPr>
  </w:style>
  <w:style w:type="paragraph" w:styleId="14">
    <w:name w:val="List"/>
    <w:basedOn w:val="1"/>
    <w:qFormat/>
    <w:uiPriority w:val="0"/>
    <w:pPr>
      <w:ind w:left="420" w:hanging="420"/>
    </w:pPr>
    <w:rPr>
      <w:szCs w:val="24"/>
    </w:rPr>
  </w:style>
  <w:style w:type="paragraph" w:styleId="15">
    <w:name w:val="List Bullet 4"/>
    <w:basedOn w:val="1"/>
    <w:qFormat/>
    <w:uiPriority w:val="0"/>
    <w:pPr>
      <w:tabs>
        <w:tab w:val="left" w:pos="1620"/>
      </w:tabs>
      <w:ind w:left="420" w:hanging="420"/>
    </w:pPr>
    <w:rPr>
      <w:szCs w:val="24"/>
    </w:rPr>
  </w:style>
  <w:style w:type="paragraph" w:styleId="16">
    <w:name w:val="Normal Indent"/>
    <w:basedOn w:val="1"/>
    <w:link w:val="76"/>
    <w:qFormat/>
    <w:uiPriority w:val="0"/>
    <w:pPr>
      <w:adjustRightInd w:val="0"/>
      <w:spacing w:line="312" w:lineRule="atLeast"/>
      <w:ind w:firstLine="420"/>
      <w:textAlignment w:val="baseline"/>
    </w:pPr>
    <w:rPr>
      <w:rFonts w:ascii="@楷体" w:hAnsi="Symbol" w:eastAsia="楷体"/>
      <w:kern w:val="28"/>
      <w:sz w:val="15"/>
    </w:rPr>
  </w:style>
  <w:style w:type="paragraph" w:styleId="17">
    <w:name w:val="Document Map"/>
    <w:basedOn w:val="1"/>
    <w:link w:val="83"/>
    <w:qFormat/>
    <w:uiPriority w:val="0"/>
    <w:rPr>
      <w:rFonts w:ascii="宋体"/>
      <w:sz w:val="18"/>
      <w:szCs w:val="18"/>
    </w:rPr>
  </w:style>
  <w:style w:type="paragraph" w:styleId="18">
    <w:name w:val="annotation text"/>
    <w:basedOn w:val="1"/>
    <w:link w:val="85"/>
    <w:qFormat/>
    <w:uiPriority w:val="0"/>
    <w:pPr>
      <w:jc w:val="left"/>
    </w:pPr>
  </w:style>
  <w:style w:type="paragraph" w:styleId="19">
    <w:name w:val="Body Text 3"/>
    <w:basedOn w:val="1"/>
    <w:link w:val="195"/>
    <w:qFormat/>
    <w:uiPriority w:val="0"/>
    <w:pPr>
      <w:spacing w:after="120"/>
    </w:pPr>
    <w:rPr>
      <w:sz w:val="16"/>
      <w:szCs w:val="16"/>
    </w:rPr>
  </w:style>
  <w:style w:type="paragraph" w:styleId="20">
    <w:name w:val="List Bullet 3"/>
    <w:basedOn w:val="1"/>
    <w:qFormat/>
    <w:uiPriority w:val="0"/>
    <w:pPr>
      <w:tabs>
        <w:tab w:val="left" w:pos="1200"/>
      </w:tabs>
      <w:ind w:left="420" w:hanging="420"/>
    </w:pPr>
    <w:rPr>
      <w:szCs w:val="24"/>
    </w:rPr>
  </w:style>
  <w:style w:type="paragraph" w:styleId="21">
    <w:name w:val="Body Text"/>
    <w:basedOn w:val="1"/>
    <w:next w:val="1"/>
    <w:link w:val="79"/>
    <w:qFormat/>
    <w:uiPriority w:val="0"/>
    <w:rPr>
      <w:rFonts w:ascii="宋体" w:hAnsi="宋体"/>
      <w:color w:val="0000FF"/>
      <w:sz w:val="24"/>
      <w:szCs w:val="24"/>
    </w:rPr>
  </w:style>
  <w:style w:type="paragraph" w:styleId="22">
    <w:name w:val="Body Text Indent"/>
    <w:basedOn w:val="1"/>
    <w:next w:val="23"/>
    <w:link w:val="86"/>
    <w:qFormat/>
    <w:uiPriority w:val="0"/>
    <w:pPr>
      <w:spacing w:after="120"/>
      <w:ind w:left="420" w:leftChars="200"/>
    </w:pPr>
    <w:rPr>
      <w:szCs w:val="24"/>
    </w:rPr>
  </w:style>
  <w:style w:type="paragraph" w:styleId="23">
    <w:name w:val="envelope return"/>
    <w:basedOn w:val="1"/>
    <w:qFormat/>
    <w:uiPriority w:val="0"/>
    <w:pPr>
      <w:adjustRightInd w:val="0"/>
      <w:snapToGrid w:val="0"/>
      <w:spacing w:line="360" w:lineRule="atLeast"/>
      <w:jc w:val="left"/>
      <w:textAlignment w:val="baseline"/>
    </w:pPr>
    <w:rPr>
      <w:rFonts w:ascii="Arial" w:hAnsi="Arial"/>
      <w:kern w:val="0"/>
      <w:sz w:val="24"/>
    </w:rPr>
  </w:style>
  <w:style w:type="paragraph" w:styleId="24">
    <w:name w:val="Block Text"/>
    <w:basedOn w:val="1"/>
    <w:qFormat/>
    <w:uiPriority w:val="0"/>
    <w:pPr>
      <w:tabs>
        <w:tab w:val="left" w:pos="6480"/>
      </w:tabs>
      <w:adjustRightInd w:val="0"/>
      <w:spacing w:line="360" w:lineRule="auto"/>
      <w:ind w:left="899" w:leftChars="428" w:right="244" w:rightChars="116" w:firstLine="480" w:firstLineChars="200"/>
      <w:jc w:val="left"/>
      <w:textAlignment w:val="baseline"/>
    </w:pPr>
    <w:rPr>
      <w:kern w:val="0"/>
      <w:sz w:val="24"/>
    </w:rPr>
  </w:style>
  <w:style w:type="paragraph" w:styleId="25">
    <w:name w:val="List Bullet 2"/>
    <w:basedOn w:val="1"/>
    <w:qFormat/>
    <w:uiPriority w:val="0"/>
    <w:pPr>
      <w:tabs>
        <w:tab w:val="left" w:pos="780"/>
      </w:tabs>
      <w:ind w:left="420" w:hanging="420"/>
    </w:pPr>
    <w:rPr>
      <w:szCs w:val="24"/>
    </w:rPr>
  </w:style>
  <w:style w:type="paragraph" w:styleId="26">
    <w:name w:val="toc 5"/>
    <w:basedOn w:val="1"/>
    <w:next w:val="1"/>
    <w:qFormat/>
    <w:uiPriority w:val="0"/>
    <w:pPr>
      <w:ind w:left="1680" w:leftChars="800"/>
    </w:pPr>
    <w:rPr>
      <w:szCs w:val="24"/>
    </w:rPr>
  </w:style>
  <w:style w:type="paragraph" w:styleId="27">
    <w:name w:val="toc 3"/>
    <w:basedOn w:val="1"/>
    <w:next w:val="1"/>
    <w:qFormat/>
    <w:uiPriority w:val="0"/>
    <w:pPr>
      <w:ind w:left="840" w:leftChars="400"/>
    </w:pPr>
    <w:rPr>
      <w:szCs w:val="24"/>
    </w:rPr>
  </w:style>
  <w:style w:type="paragraph" w:styleId="28">
    <w:name w:val="Plain Text"/>
    <w:basedOn w:val="1"/>
    <w:link w:val="70"/>
    <w:unhideWhenUsed/>
    <w:qFormat/>
    <w:uiPriority w:val="0"/>
    <w:rPr>
      <w:rFonts w:ascii="宋体" w:hAnsi="Courier New"/>
    </w:rPr>
  </w:style>
  <w:style w:type="paragraph" w:styleId="29">
    <w:name w:val="toc 8"/>
    <w:basedOn w:val="1"/>
    <w:next w:val="1"/>
    <w:qFormat/>
    <w:uiPriority w:val="0"/>
    <w:pPr>
      <w:ind w:left="2940" w:leftChars="1400"/>
    </w:pPr>
    <w:rPr>
      <w:szCs w:val="24"/>
    </w:rPr>
  </w:style>
  <w:style w:type="paragraph" w:styleId="30">
    <w:name w:val="Date"/>
    <w:basedOn w:val="1"/>
    <w:next w:val="1"/>
    <w:link w:val="88"/>
    <w:qFormat/>
    <w:uiPriority w:val="0"/>
  </w:style>
  <w:style w:type="paragraph" w:styleId="31">
    <w:name w:val="Body Text Indent 2"/>
    <w:basedOn w:val="1"/>
    <w:link w:val="89"/>
    <w:qFormat/>
    <w:uiPriority w:val="0"/>
    <w:pPr>
      <w:ind w:firstLine="480" w:firstLineChars="200"/>
    </w:pPr>
    <w:rPr>
      <w:rFonts w:ascii="宋体" w:hAnsi="宋体"/>
      <w:color w:val="FF0000"/>
      <w:sz w:val="24"/>
      <w:szCs w:val="24"/>
    </w:rPr>
  </w:style>
  <w:style w:type="paragraph" w:styleId="32">
    <w:name w:val="Balloon Text"/>
    <w:basedOn w:val="1"/>
    <w:link w:val="75"/>
    <w:unhideWhenUsed/>
    <w:qFormat/>
    <w:uiPriority w:val="0"/>
    <w:rPr>
      <w:sz w:val="18"/>
      <w:szCs w:val="18"/>
    </w:rPr>
  </w:style>
  <w:style w:type="paragraph" w:styleId="33">
    <w:name w:val="footer"/>
    <w:basedOn w:val="1"/>
    <w:link w:val="71"/>
    <w:qFormat/>
    <w:uiPriority w:val="0"/>
    <w:pPr>
      <w:tabs>
        <w:tab w:val="center" w:pos="4153"/>
        <w:tab w:val="right" w:pos="8306"/>
      </w:tabs>
      <w:snapToGrid w:val="0"/>
      <w:jc w:val="left"/>
    </w:pPr>
    <w:rPr>
      <w:sz w:val="18"/>
    </w:rPr>
  </w:style>
  <w:style w:type="paragraph" w:styleId="34">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5">
    <w:name w:val="toc 1"/>
    <w:basedOn w:val="1"/>
    <w:next w:val="1"/>
    <w:qFormat/>
    <w:uiPriority w:val="0"/>
    <w:rPr>
      <w:szCs w:val="24"/>
    </w:rPr>
  </w:style>
  <w:style w:type="paragraph" w:styleId="36">
    <w:name w:val="toc 4"/>
    <w:basedOn w:val="1"/>
    <w:next w:val="1"/>
    <w:qFormat/>
    <w:uiPriority w:val="0"/>
    <w:pPr>
      <w:ind w:left="1260" w:leftChars="600"/>
    </w:pPr>
    <w:rPr>
      <w:szCs w:val="24"/>
    </w:rPr>
  </w:style>
  <w:style w:type="paragraph" w:styleId="37">
    <w:name w:val="Subtitle"/>
    <w:basedOn w:val="1"/>
    <w:link w:val="120"/>
    <w:qFormat/>
    <w:uiPriority w:val="0"/>
    <w:pPr>
      <w:adjustRightInd w:val="0"/>
      <w:spacing w:before="120" w:after="120" w:line="240" w:lineRule="atLeast"/>
      <w:jc w:val="center"/>
      <w:textAlignment w:val="baseline"/>
    </w:pPr>
    <w:rPr>
      <w:rFonts w:ascii="Cambria" w:hAnsi="Cambria"/>
      <w:b/>
      <w:bCs/>
      <w:kern w:val="28"/>
      <w:sz w:val="32"/>
      <w:szCs w:val="32"/>
    </w:rPr>
  </w:style>
  <w:style w:type="paragraph" w:styleId="38">
    <w:name w:val="toc 6"/>
    <w:basedOn w:val="1"/>
    <w:next w:val="1"/>
    <w:qFormat/>
    <w:uiPriority w:val="0"/>
    <w:pPr>
      <w:ind w:left="2100" w:leftChars="1000"/>
    </w:pPr>
    <w:rPr>
      <w:szCs w:val="24"/>
    </w:rPr>
  </w:style>
  <w:style w:type="paragraph" w:styleId="39">
    <w:name w:val="Body Text Indent 3"/>
    <w:basedOn w:val="1"/>
    <w:link w:val="91"/>
    <w:qFormat/>
    <w:uiPriority w:val="0"/>
    <w:pPr>
      <w:spacing w:line="360" w:lineRule="atLeast"/>
      <w:ind w:left="420" w:firstLine="480"/>
    </w:pPr>
    <w:rPr>
      <w:rFonts w:ascii="宋体"/>
      <w:sz w:val="24"/>
      <w:szCs w:val="24"/>
    </w:rPr>
  </w:style>
  <w:style w:type="paragraph" w:styleId="40">
    <w:name w:val="toc 2"/>
    <w:basedOn w:val="1"/>
    <w:next w:val="1"/>
    <w:qFormat/>
    <w:uiPriority w:val="0"/>
    <w:pPr>
      <w:ind w:left="420" w:leftChars="200"/>
    </w:pPr>
    <w:rPr>
      <w:szCs w:val="24"/>
    </w:rPr>
  </w:style>
  <w:style w:type="paragraph" w:styleId="41">
    <w:name w:val="toc 9"/>
    <w:basedOn w:val="1"/>
    <w:next w:val="1"/>
    <w:qFormat/>
    <w:uiPriority w:val="0"/>
    <w:pPr>
      <w:ind w:left="3360" w:leftChars="1600"/>
    </w:pPr>
    <w:rPr>
      <w:szCs w:val="24"/>
    </w:rPr>
  </w:style>
  <w:style w:type="paragraph" w:styleId="42">
    <w:name w:val="Body Text 2"/>
    <w:basedOn w:val="1"/>
    <w:link w:val="92"/>
    <w:qFormat/>
    <w:uiPriority w:val="0"/>
    <w:rPr>
      <w:rFonts w:ascii="宋体"/>
      <w:b/>
      <w:bCs/>
      <w:color w:val="0000FF"/>
      <w:sz w:val="30"/>
      <w:szCs w:val="24"/>
    </w:rPr>
  </w:style>
  <w:style w:type="paragraph" w:styleId="43">
    <w:name w:val="Message Header"/>
    <w:basedOn w:val="21"/>
    <w:link w:val="196"/>
    <w:qFormat/>
    <w:uiPriority w:val="0"/>
    <w:pPr>
      <w:keepLines/>
      <w:widowControl/>
      <w:tabs>
        <w:tab w:val="left" w:pos="720"/>
        <w:tab w:val="left" w:pos="4320"/>
        <w:tab w:val="left" w:pos="5040"/>
        <w:tab w:val="right" w:pos="8640"/>
      </w:tabs>
      <w:spacing w:after="40" w:line="440" w:lineRule="atLeast"/>
      <w:ind w:left="720" w:hanging="720"/>
      <w:jc w:val="left"/>
    </w:pPr>
    <w:rPr>
      <w:rFonts w:ascii="Arial" w:hAnsi="Arial"/>
      <w:color w:val="auto"/>
      <w:spacing w:val="-5"/>
      <w:kern w:val="0"/>
      <w:sz w:val="20"/>
      <w:szCs w:val="20"/>
    </w:rPr>
  </w:style>
  <w:style w:type="paragraph" w:styleId="44">
    <w:name w:val="HTML Preformatted"/>
    <w:basedOn w:val="1"/>
    <w:link w:val="9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46">
    <w:name w:val="index 1"/>
    <w:basedOn w:val="1"/>
    <w:next w:val="1"/>
    <w:qFormat/>
    <w:uiPriority w:val="0"/>
    <w:pPr>
      <w:adjustRightInd w:val="0"/>
      <w:spacing w:line="360" w:lineRule="atLeast"/>
      <w:jc w:val="left"/>
      <w:textAlignment w:val="baseline"/>
    </w:pPr>
    <w:rPr>
      <w:kern w:val="0"/>
      <w:sz w:val="24"/>
    </w:rPr>
  </w:style>
  <w:style w:type="paragraph" w:styleId="47">
    <w:name w:val="Title"/>
    <w:basedOn w:val="1"/>
    <w:next w:val="1"/>
    <w:link w:val="73"/>
    <w:qFormat/>
    <w:uiPriority w:val="0"/>
    <w:pPr>
      <w:adjustRightInd w:val="0"/>
      <w:snapToGrid w:val="0"/>
      <w:spacing w:before="120" w:after="120" w:line="520" w:lineRule="exact"/>
      <w:jc w:val="center"/>
      <w:outlineLvl w:val="0"/>
    </w:pPr>
    <w:rPr>
      <w:rFonts w:ascii="黑体" w:eastAsia="黑体"/>
      <w:snapToGrid w:val="0"/>
      <w:sz w:val="28"/>
    </w:rPr>
  </w:style>
  <w:style w:type="paragraph" w:styleId="48">
    <w:name w:val="annotation subject"/>
    <w:basedOn w:val="18"/>
    <w:next w:val="18"/>
    <w:link w:val="95"/>
    <w:semiHidden/>
    <w:qFormat/>
    <w:uiPriority w:val="0"/>
    <w:rPr>
      <w:b/>
      <w:bCs/>
      <w:szCs w:val="24"/>
    </w:rPr>
  </w:style>
  <w:style w:type="paragraph" w:styleId="49">
    <w:name w:val="Body Text First Indent"/>
    <w:basedOn w:val="21"/>
    <w:link w:val="137"/>
    <w:qFormat/>
    <w:uiPriority w:val="0"/>
    <w:pPr>
      <w:spacing w:after="120"/>
      <w:ind w:firstLine="420" w:firstLineChars="100"/>
    </w:pPr>
    <w:rPr>
      <w:rFonts w:hAnsi="Times New Roman"/>
      <w:color w:val="auto"/>
      <w:szCs w:val="20"/>
    </w:rPr>
  </w:style>
  <w:style w:type="paragraph" w:styleId="50">
    <w:name w:val="Body Text First Indent 2"/>
    <w:basedOn w:val="22"/>
    <w:next w:val="24"/>
    <w:link w:val="231"/>
    <w:autoRedefine/>
    <w:qFormat/>
    <w:uiPriority w:val="0"/>
    <w:pPr>
      <w:snapToGrid w:val="0"/>
      <w:spacing w:line="288" w:lineRule="auto"/>
      <w:ind w:left="907" w:firstLine="200" w:firstLineChars="200"/>
    </w:pPr>
    <w:rPr>
      <w:rFonts w:eastAsia="仿宋_GB2312"/>
      <w:sz w:val="30"/>
    </w:rPr>
  </w:style>
  <w:style w:type="table" w:styleId="52">
    <w:name w:val="Table Grid"/>
    <w:basedOn w:val="5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unhideWhenUsed/>
    <w:qFormat/>
    <w:uiPriority w:val="0"/>
    <w:rPr>
      <w:kern w:val="2"/>
      <w:sz w:val="21"/>
      <w:szCs w:val="21"/>
    </w:rPr>
  </w:style>
  <w:style w:type="character" w:styleId="56">
    <w:name w:val="FollowedHyperlink"/>
    <w:qFormat/>
    <w:uiPriority w:val="0"/>
    <w:rPr>
      <w:color w:val="800080"/>
      <w:u w:val="single"/>
    </w:rPr>
  </w:style>
  <w:style w:type="character" w:styleId="57">
    <w:name w:val="Emphasis"/>
    <w:basedOn w:val="53"/>
    <w:qFormat/>
    <w:uiPriority w:val="20"/>
    <w:rPr>
      <w:i/>
      <w:iCs/>
    </w:rPr>
  </w:style>
  <w:style w:type="character" w:styleId="58">
    <w:name w:val="Hyperlink"/>
    <w:basedOn w:val="53"/>
    <w:unhideWhenUsed/>
    <w:qFormat/>
    <w:uiPriority w:val="0"/>
    <w:rPr>
      <w:color w:val="0563C1" w:themeColor="hyperlink"/>
      <w:u w:val="single"/>
      <w14:textFill>
        <w14:solidFill>
          <w14:schemeClr w14:val="hlink"/>
        </w14:solidFill>
      </w14:textFill>
    </w:rPr>
  </w:style>
  <w:style w:type="character" w:styleId="59">
    <w:name w:val="annotation reference"/>
    <w:qFormat/>
    <w:uiPriority w:val="0"/>
    <w:rPr>
      <w:sz w:val="21"/>
      <w:szCs w:val="21"/>
    </w:rPr>
  </w:style>
  <w:style w:type="paragraph" w:customStyle="1" w:styleId="60">
    <w:name w:val="正文缩进1"/>
    <w:basedOn w:val="1"/>
    <w:qFormat/>
    <w:uiPriority w:val="0"/>
    <w:pPr>
      <w:adjustRightInd w:val="0"/>
      <w:spacing w:line="360" w:lineRule="atLeast"/>
      <w:ind w:firstLine="420"/>
      <w:jc w:val="left"/>
      <w:textAlignment w:val="baseline"/>
    </w:pPr>
    <w:rPr>
      <w:kern w:val="0"/>
      <w:sz w:val="24"/>
    </w:rPr>
  </w:style>
  <w:style w:type="character" w:customStyle="1" w:styleId="61">
    <w:name w:val="标题 1 字符"/>
    <w:basedOn w:val="53"/>
    <w:link w:val="2"/>
    <w:qFormat/>
    <w:uiPriority w:val="0"/>
    <w:rPr>
      <w:kern w:val="2"/>
      <w:sz w:val="28"/>
    </w:rPr>
  </w:style>
  <w:style w:type="character" w:customStyle="1" w:styleId="62">
    <w:name w:val="标题 2 字符"/>
    <w:basedOn w:val="53"/>
    <w:link w:val="3"/>
    <w:qFormat/>
    <w:uiPriority w:val="0"/>
    <w:rPr>
      <w:rFonts w:ascii="Arial" w:hAnsi="Arial" w:eastAsia="黑体"/>
      <w:b/>
      <w:sz w:val="32"/>
    </w:rPr>
  </w:style>
  <w:style w:type="character" w:customStyle="1" w:styleId="63">
    <w:name w:val="标题 3 字符"/>
    <w:basedOn w:val="53"/>
    <w:link w:val="4"/>
    <w:qFormat/>
    <w:uiPriority w:val="0"/>
    <w:rPr>
      <w:b/>
      <w:sz w:val="32"/>
    </w:rPr>
  </w:style>
  <w:style w:type="character" w:customStyle="1" w:styleId="64">
    <w:name w:val="标题 4 字符"/>
    <w:basedOn w:val="53"/>
    <w:link w:val="5"/>
    <w:qFormat/>
    <w:uiPriority w:val="0"/>
    <w:rPr>
      <w:rFonts w:ascii="Arial" w:hAnsi="Arial" w:eastAsia="黑体"/>
      <w:b/>
      <w:sz w:val="28"/>
    </w:rPr>
  </w:style>
  <w:style w:type="character" w:customStyle="1" w:styleId="65">
    <w:name w:val="标题 5 字符"/>
    <w:basedOn w:val="53"/>
    <w:link w:val="6"/>
    <w:qFormat/>
    <w:uiPriority w:val="0"/>
    <w:rPr>
      <w:b/>
      <w:sz w:val="28"/>
    </w:rPr>
  </w:style>
  <w:style w:type="character" w:customStyle="1" w:styleId="66">
    <w:name w:val="标题 6 字符"/>
    <w:basedOn w:val="53"/>
    <w:link w:val="7"/>
    <w:qFormat/>
    <w:uiPriority w:val="0"/>
    <w:rPr>
      <w:rFonts w:ascii="Arial" w:hAnsi="Arial" w:eastAsia="黑体"/>
      <w:b/>
      <w:sz w:val="24"/>
    </w:rPr>
  </w:style>
  <w:style w:type="character" w:customStyle="1" w:styleId="67">
    <w:name w:val="标题 7 字符"/>
    <w:basedOn w:val="53"/>
    <w:link w:val="8"/>
    <w:qFormat/>
    <w:uiPriority w:val="0"/>
    <w:rPr>
      <w:b/>
      <w:sz w:val="24"/>
    </w:rPr>
  </w:style>
  <w:style w:type="character" w:customStyle="1" w:styleId="68">
    <w:name w:val="标题 8 字符"/>
    <w:basedOn w:val="53"/>
    <w:link w:val="9"/>
    <w:qFormat/>
    <w:uiPriority w:val="0"/>
    <w:rPr>
      <w:rFonts w:ascii="Arial" w:hAnsi="Arial" w:eastAsia="黑体"/>
      <w:sz w:val="24"/>
    </w:rPr>
  </w:style>
  <w:style w:type="character" w:customStyle="1" w:styleId="69">
    <w:name w:val="标题 9 字符"/>
    <w:basedOn w:val="53"/>
    <w:link w:val="10"/>
    <w:qFormat/>
    <w:uiPriority w:val="0"/>
    <w:rPr>
      <w:rFonts w:ascii="Arial" w:hAnsi="Arial" w:eastAsia="黑体"/>
      <w:sz w:val="24"/>
    </w:rPr>
  </w:style>
  <w:style w:type="character" w:customStyle="1" w:styleId="70">
    <w:name w:val="纯文本 字符"/>
    <w:link w:val="28"/>
    <w:qFormat/>
    <w:uiPriority w:val="0"/>
    <w:rPr>
      <w:rFonts w:ascii="宋体" w:hAnsi="Courier New"/>
      <w:kern w:val="2"/>
      <w:sz w:val="21"/>
    </w:rPr>
  </w:style>
  <w:style w:type="character" w:customStyle="1" w:styleId="71">
    <w:name w:val="页脚 字符"/>
    <w:basedOn w:val="53"/>
    <w:link w:val="33"/>
    <w:qFormat/>
    <w:uiPriority w:val="99"/>
    <w:rPr>
      <w:kern w:val="2"/>
      <w:sz w:val="18"/>
    </w:rPr>
  </w:style>
  <w:style w:type="character" w:customStyle="1" w:styleId="72">
    <w:name w:val="页眉 字符"/>
    <w:link w:val="34"/>
    <w:qFormat/>
    <w:uiPriority w:val="99"/>
    <w:rPr>
      <w:kern w:val="2"/>
      <w:sz w:val="18"/>
    </w:rPr>
  </w:style>
  <w:style w:type="character" w:customStyle="1" w:styleId="73">
    <w:name w:val="标题 字符"/>
    <w:link w:val="47"/>
    <w:qFormat/>
    <w:uiPriority w:val="0"/>
    <w:rPr>
      <w:rFonts w:ascii="黑体" w:eastAsia="黑体"/>
      <w:snapToGrid w:val="0"/>
      <w:kern w:val="2"/>
      <w:sz w:val="28"/>
    </w:rPr>
  </w:style>
  <w:style w:type="paragraph" w:customStyle="1" w:styleId="74">
    <w:name w:val="Char Char Char1 Char Char Char Char"/>
    <w:basedOn w:val="1"/>
    <w:qFormat/>
    <w:uiPriority w:val="0"/>
    <w:rPr>
      <w:szCs w:val="21"/>
    </w:rPr>
  </w:style>
  <w:style w:type="character" w:customStyle="1" w:styleId="75">
    <w:name w:val="批注框文本 字符"/>
    <w:basedOn w:val="53"/>
    <w:link w:val="32"/>
    <w:qFormat/>
    <w:uiPriority w:val="0"/>
    <w:rPr>
      <w:kern w:val="2"/>
      <w:sz w:val="18"/>
      <w:szCs w:val="18"/>
    </w:rPr>
  </w:style>
  <w:style w:type="character" w:customStyle="1" w:styleId="76">
    <w:name w:val="正文缩进 字符"/>
    <w:link w:val="16"/>
    <w:qFormat/>
    <w:uiPriority w:val="0"/>
    <w:rPr>
      <w:rFonts w:ascii="@楷体" w:hAnsi="Symbol" w:eastAsia="楷体"/>
      <w:kern w:val="28"/>
      <w:sz w:val="15"/>
    </w:rPr>
  </w:style>
  <w:style w:type="paragraph" w:customStyle="1" w:styleId="77">
    <w:name w:val="列出段落1"/>
    <w:basedOn w:val="1"/>
    <w:link w:val="78"/>
    <w:qFormat/>
    <w:uiPriority w:val="34"/>
    <w:pPr>
      <w:ind w:firstLine="420" w:firstLineChars="200"/>
    </w:pPr>
    <w:rPr>
      <w:rFonts w:ascii="Calibri" w:hAnsi="Calibri" w:cs="Calibri"/>
      <w:szCs w:val="21"/>
    </w:rPr>
  </w:style>
  <w:style w:type="character" w:customStyle="1" w:styleId="78">
    <w:name w:val="列出段落 Char"/>
    <w:link w:val="77"/>
    <w:qFormat/>
    <w:uiPriority w:val="34"/>
    <w:rPr>
      <w:rFonts w:ascii="Calibri" w:hAnsi="Calibri" w:cs="Calibri"/>
      <w:kern w:val="2"/>
      <w:sz w:val="21"/>
      <w:szCs w:val="21"/>
    </w:rPr>
  </w:style>
  <w:style w:type="character" w:customStyle="1" w:styleId="79">
    <w:name w:val="正文文本 字符"/>
    <w:basedOn w:val="53"/>
    <w:link w:val="21"/>
    <w:qFormat/>
    <w:uiPriority w:val="0"/>
    <w:rPr>
      <w:rFonts w:ascii="宋体" w:hAnsi="宋体"/>
      <w:color w:val="0000FF"/>
      <w:kern w:val="2"/>
      <w:sz w:val="24"/>
      <w:szCs w:val="24"/>
    </w:rPr>
  </w:style>
  <w:style w:type="paragraph" w:styleId="80">
    <w:name w:val="List Paragraph"/>
    <w:basedOn w:val="1"/>
    <w:qFormat/>
    <w:uiPriority w:val="34"/>
    <w:pPr>
      <w:ind w:firstLine="420" w:firstLineChars="200"/>
    </w:pPr>
  </w:style>
  <w:style w:type="table" w:customStyle="1" w:styleId="81">
    <w:name w:val="网格型1"/>
    <w:basedOn w:val="5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2">
    <w:name w:val="正文缩进 Char"/>
    <w:qFormat/>
    <w:uiPriority w:val="0"/>
    <w:rPr>
      <w:rFonts w:ascii="@楷体" w:hAnsi="Symbol" w:eastAsia="楷体"/>
      <w:kern w:val="28"/>
      <w:sz w:val="15"/>
      <w:lang w:val="en-US" w:eastAsia="zh-CN" w:bidi="ar-SA"/>
    </w:rPr>
  </w:style>
  <w:style w:type="character" w:customStyle="1" w:styleId="83">
    <w:name w:val="文档结构图 字符1"/>
    <w:link w:val="17"/>
    <w:qFormat/>
    <w:uiPriority w:val="0"/>
    <w:rPr>
      <w:rFonts w:ascii="宋体"/>
      <w:kern w:val="2"/>
      <w:sz w:val="18"/>
      <w:szCs w:val="18"/>
    </w:rPr>
  </w:style>
  <w:style w:type="character" w:customStyle="1" w:styleId="84">
    <w:name w:val="文档结构图 字符"/>
    <w:basedOn w:val="53"/>
    <w:qFormat/>
    <w:uiPriority w:val="0"/>
    <w:rPr>
      <w:rFonts w:ascii="Microsoft YaHei UI" w:eastAsia="Microsoft YaHei UI"/>
      <w:kern w:val="2"/>
      <w:sz w:val="18"/>
      <w:szCs w:val="18"/>
    </w:rPr>
  </w:style>
  <w:style w:type="character" w:customStyle="1" w:styleId="85">
    <w:name w:val="批注文字 字符"/>
    <w:basedOn w:val="53"/>
    <w:link w:val="18"/>
    <w:qFormat/>
    <w:uiPriority w:val="0"/>
    <w:rPr>
      <w:kern w:val="2"/>
      <w:sz w:val="21"/>
    </w:rPr>
  </w:style>
  <w:style w:type="character" w:customStyle="1" w:styleId="86">
    <w:name w:val="正文文本缩进 字符"/>
    <w:basedOn w:val="53"/>
    <w:link w:val="22"/>
    <w:qFormat/>
    <w:uiPriority w:val="0"/>
    <w:rPr>
      <w:kern w:val="2"/>
      <w:sz w:val="21"/>
      <w:szCs w:val="24"/>
    </w:rPr>
  </w:style>
  <w:style w:type="character" w:customStyle="1" w:styleId="87">
    <w:name w:val="纯文本 Char"/>
    <w:qFormat/>
    <w:uiPriority w:val="0"/>
    <w:rPr>
      <w:rFonts w:ascii="宋体" w:hAnsi="Courier New"/>
      <w:kern w:val="2"/>
      <w:sz w:val="21"/>
    </w:rPr>
  </w:style>
  <w:style w:type="character" w:customStyle="1" w:styleId="88">
    <w:name w:val="日期 字符"/>
    <w:basedOn w:val="53"/>
    <w:link w:val="30"/>
    <w:qFormat/>
    <w:uiPriority w:val="0"/>
    <w:rPr>
      <w:kern w:val="2"/>
      <w:sz w:val="21"/>
    </w:rPr>
  </w:style>
  <w:style w:type="character" w:customStyle="1" w:styleId="89">
    <w:name w:val="正文文本缩进 2 字符"/>
    <w:basedOn w:val="53"/>
    <w:link w:val="31"/>
    <w:qFormat/>
    <w:uiPriority w:val="0"/>
    <w:rPr>
      <w:rFonts w:ascii="宋体" w:hAnsi="宋体"/>
      <w:color w:val="FF0000"/>
      <w:kern w:val="2"/>
      <w:sz w:val="24"/>
      <w:szCs w:val="24"/>
    </w:rPr>
  </w:style>
  <w:style w:type="character" w:customStyle="1" w:styleId="90">
    <w:name w:val="页脚 Char"/>
    <w:qFormat/>
    <w:uiPriority w:val="0"/>
    <w:rPr>
      <w:kern w:val="2"/>
      <w:sz w:val="18"/>
      <w:szCs w:val="18"/>
      <w:lang w:val="en-US" w:eastAsia="zh-CN"/>
    </w:rPr>
  </w:style>
  <w:style w:type="character" w:customStyle="1" w:styleId="91">
    <w:name w:val="正文文本缩进 3 字符"/>
    <w:basedOn w:val="53"/>
    <w:link w:val="39"/>
    <w:qFormat/>
    <w:uiPriority w:val="0"/>
    <w:rPr>
      <w:rFonts w:ascii="宋体"/>
      <w:kern w:val="2"/>
      <w:sz w:val="24"/>
      <w:szCs w:val="24"/>
    </w:rPr>
  </w:style>
  <w:style w:type="character" w:customStyle="1" w:styleId="92">
    <w:name w:val="正文文本 2 字符"/>
    <w:basedOn w:val="53"/>
    <w:link w:val="42"/>
    <w:qFormat/>
    <w:uiPriority w:val="0"/>
    <w:rPr>
      <w:rFonts w:ascii="宋体"/>
      <w:b/>
      <w:bCs/>
      <w:color w:val="0000FF"/>
      <w:kern w:val="2"/>
      <w:sz w:val="30"/>
      <w:szCs w:val="24"/>
    </w:rPr>
  </w:style>
  <w:style w:type="character" w:customStyle="1" w:styleId="93">
    <w:name w:val="HTML 预设格式 字符1"/>
    <w:link w:val="44"/>
    <w:qFormat/>
    <w:uiPriority w:val="99"/>
    <w:rPr>
      <w:rFonts w:ascii="宋体" w:hAnsi="宋体" w:cs="宋体"/>
      <w:sz w:val="24"/>
      <w:szCs w:val="24"/>
    </w:rPr>
  </w:style>
  <w:style w:type="character" w:customStyle="1" w:styleId="94">
    <w:name w:val="HTML 预设格式 字符"/>
    <w:basedOn w:val="53"/>
    <w:semiHidden/>
    <w:qFormat/>
    <w:uiPriority w:val="99"/>
    <w:rPr>
      <w:rFonts w:ascii="Courier New" w:hAnsi="Courier New" w:cs="Courier New"/>
      <w:kern w:val="2"/>
    </w:rPr>
  </w:style>
  <w:style w:type="character" w:customStyle="1" w:styleId="95">
    <w:name w:val="批注主题 字符"/>
    <w:basedOn w:val="85"/>
    <w:link w:val="48"/>
    <w:semiHidden/>
    <w:qFormat/>
    <w:uiPriority w:val="0"/>
    <w:rPr>
      <w:b/>
      <w:bCs/>
      <w:kern w:val="2"/>
      <w:sz w:val="21"/>
      <w:szCs w:val="24"/>
    </w:rPr>
  </w:style>
  <w:style w:type="character" w:customStyle="1" w:styleId="96">
    <w:name w:val="txt41"/>
    <w:qFormat/>
    <w:uiPriority w:val="0"/>
    <w:rPr>
      <w:b/>
      <w:bCs/>
      <w:color w:val="000000"/>
      <w:sz w:val="29"/>
      <w:szCs w:val="29"/>
    </w:rPr>
  </w:style>
  <w:style w:type="character" w:customStyle="1" w:styleId="97">
    <w:name w:val="样式12 Char"/>
    <w:link w:val="98"/>
    <w:qFormat/>
    <w:locked/>
    <w:uiPriority w:val="0"/>
    <w:rPr>
      <w:kern w:val="2"/>
      <w:sz w:val="24"/>
    </w:rPr>
  </w:style>
  <w:style w:type="paragraph" w:customStyle="1" w:styleId="98">
    <w:name w:val="样式12"/>
    <w:basedOn w:val="1"/>
    <w:link w:val="97"/>
    <w:qFormat/>
    <w:uiPriority w:val="0"/>
    <w:pPr>
      <w:tabs>
        <w:tab w:val="left" w:pos="533"/>
      </w:tabs>
      <w:ind w:left="420" w:hanging="420"/>
    </w:pPr>
    <w:rPr>
      <w:sz w:val="24"/>
    </w:rPr>
  </w:style>
  <w:style w:type="character" w:customStyle="1" w:styleId="99">
    <w:name w:val="txt91"/>
    <w:qFormat/>
    <w:uiPriority w:val="0"/>
    <w:rPr>
      <w:b/>
      <w:bCs/>
      <w:color w:val="330066"/>
      <w:sz w:val="22"/>
      <w:szCs w:val="22"/>
    </w:rPr>
  </w:style>
  <w:style w:type="character" w:customStyle="1" w:styleId="100">
    <w:name w:val="txt14"/>
    <w:qFormat/>
    <w:uiPriority w:val="0"/>
    <w:rPr>
      <w:color w:val="000000"/>
      <w:sz w:val="29"/>
      <w:szCs w:val="29"/>
    </w:rPr>
  </w:style>
  <w:style w:type="paragraph" w:customStyle="1" w:styleId="101">
    <w:name w:val="大标题"/>
    <w:basedOn w:val="1"/>
    <w:qFormat/>
    <w:uiPriority w:val="0"/>
    <w:pPr>
      <w:jc w:val="center"/>
    </w:pPr>
    <w:rPr>
      <w:rFonts w:ascii="黑体" w:eastAsia="黑体" w:cs="宋体"/>
      <w:b/>
      <w:bCs/>
      <w:sz w:val="32"/>
    </w:rPr>
  </w:style>
  <w:style w:type="paragraph" w:customStyle="1" w:styleId="102">
    <w:name w:val="4 Char"/>
    <w:basedOn w:val="1"/>
    <w:qFormat/>
    <w:uiPriority w:val="0"/>
    <w:rPr>
      <w:szCs w:val="24"/>
    </w:rPr>
  </w:style>
  <w:style w:type="paragraph" w:customStyle="1" w:styleId="103">
    <w:name w:val="Char Char Char1"/>
    <w:basedOn w:val="1"/>
    <w:qFormat/>
    <w:uiPriority w:val="0"/>
    <w:rPr>
      <w:szCs w:val="24"/>
    </w:rPr>
  </w:style>
  <w:style w:type="paragraph" w:customStyle="1" w:styleId="104">
    <w:name w:val="txt1"/>
    <w:basedOn w:val="1"/>
    <w:qFormat/>
    <w:uiPriority w:val="0"/>
    <w:pPr>
      <w:widowControl/>
      <w:spacing w:before="100" w:beforeAutospacing="1" w:after="100" w:afterAutospacing="1"/>
      <w:jc w:val="left"/>
    </w:pPr>
    <w:rPr>
      <w:rFonts w:ascii="宋体" w:hAnsi="宋体"/>
      <w:color w:val="000000"/>
      <w:kern w:val="0"/>
      <w:sz w:val="29"/>
      <w:szCs w:val="29"/>
    </w:rPr>
  </w:style>
  <w:style w:type="paragraph" w:customStyle="1" w:styleId="105">
    <w:name w:val="normal11"/>
    <w:basedOn w:val="1"/>
    <w:qFormat/>
    <w:uiPriority w:val="0"/>
    <w:pPr>
      <w:widowControl/>
      <w:autoSpaceDE w:val="0"/>
      <w:autoSpaceDN w:val="0"/>
      <w:jc w:val="left"/>
    </w:pPr>
    <w:rPr>
      <w:rFonts w:ascii="Arial" w:hAnsi="Arial" w:cs="Arial"/>
      <w:kern w:val="0"/>
      <w:sz w:val="22"/>
      <w:szCs w:val="22"/>
      <w:lang w:eastAsia="en-US"/>
    </w:rPr>
  </w:style>
  <w:style w:type="paragraph" w:customStyle="1" w:styleId="106">
    <w:name w:val="日期1"/>
    <w:basedOn w:val="1"/>
    <w:next w:val="1"/>
    <w:qFormat/>
    <w:uiPriority w:val="0"/>
    <w:pPr>
      <w:overflowPunct w:val="0"/>
      <w:autoSpaceDE w:val="0"/>
      <w:autoSpaceDN w:val="0"/>
      <w:adjustRightInd w:val="0"/>
      <w:spacing w:line="312" w:lineRule="atLeast"/>
      <w:textAlignment w:val="baseline"/>
    </w:pPr>
    <w:rPr>
      <w:rFonts w:ascii="宋体"/>
      <w:kern w:val="0"/>
      <w:sz w:val="28"/>
    </w:rPr>
  </w:style>
  <w:style w:type="paragraph" w:customStyle="1" w:styleId="107">
    <w:name w:val="Char Char Char Char Char Char Char Char Char"/>
    <w:basedOn w:val="1"/>
    <w:qFormat/>
    <w:uiPriority w:val="0"/>
    <w:pPr>
      <w:adjustRightInd w:val="0"/>
      <w:spacing w:line="360" w:lineRule="auto"/>
    </w:pPr>
    <w:rPr>
      <w:rFonts w:ascii="Tahoma" w:hAnsi="Tahoma"/>
      <w:kern w:val="0"/>
      <w:sz w:val="24"/>
    </w:rPr>
  </w:style>
  <w:style w:type="paragraph" w:customStyle="1" w:styleId="108">
    <w:name w:val="Char"/>
    <w:basedOn w:val="1"/>
    <w:qFormat/>
    <w:uiPriority w:val="0"/>
    <w:rPr>
      <w:szCs w:val="21"/>
    </w:rPr>
  </w:style>
  <w:style w:type="paragraph" w:customStyle="1" w:styleId="109">
    <w:name w:val="列出段落2"/>
    <w:basedOn w:val="1"/>
    <w:qFormat/>
    <w:uiPriority w:val="0"/>
    <w:pPr>
      <w:ind w:firstLine="420" w:firstLineChars="200"/>
    </w:pPr>
    <w:rPr>
      <w:rFonts w:ascii="Calibri" w:hAnsi="Calibri" w:cs="Calibri"/>
      <w:szCs w:val="21"/>
    </w:rPr>
  </w:style>
  <w:style w:type="paragraph" w:customStyle="1" w:styleId="110">
    <w:name w:val="ST20_17"/>
    <w:basedOn w:val="5"/>
    <w:qFormat/>
    <w:uiPriority w:val="0"/>
    <w:pPr>
      <w:numPr>
        <w:numId w:val="0"/>
      </w:numPr>
      <w:autoSpaceDE w:val="0"/>
      <w:autoSpaceDN w:val="0"/>
      <w:spacing w:before="0" w:after="0" w:line="240" w:lineRule="atLeast"/>
      <w:jc w:val="both"/>
      <w:outlineLvl w:val="9"/>
    </w:pPr>
    <w:rPr>
      <w:rFonts w:ascii="宋体" w:hAnsi="Tms Rmn" w:eastAsia="宋体"/>
      <w:b w:val="0"/>
      <w:sz w:val="24"/>
    </w:rPr>
  </w:style>
  <w:style w:type="paragraph" w:customStyle="1" w:styleId="111">
    <w:name w:val="Char1"/>
    <w:basedOn w:val="1"/>
    <w:qFormat/>
    <w:uiPriority w:val="0"/>
    <w:rPr>
      <w:szCs w:val="24"/>
    </w:rPr>
  </w:style>
  <w:style w:type="paragraph" w:customStyle="1" w:styleId="112">
    <w:name w:val="Char Char Char Char"/>
    <w:basedOn w:val="1"/>
    <w:qFormat/>
    <w:uiPriority w:val="0"/>
    <w:pPr>
      <w:adjustRightInd w:val="0"/>
      <w:spacing w:line="360" w:lineRule="auto"/>
    </w:pPr>
    <w:rPr>
      <w:rFonts w:ascii="Tahoma" w:hAnsi="Tahoma"/>
      <w:kern w:val="0"/>
      <w:sz w:val="24"/>
    </w:rPr>
  </w:style>
  <w:style w:type="paragraph" w:customStyle="1" w:styleId="113">
    <w:name w:val="内容文字"/>
    <w:basedOn w:val="1"/>
    <w:qFormat/>
    <w:uiPriority w:val="0"/>
    <w:pPr>
      <w:spacing w:line="360" w:lineRule="exact"/>
    </w:pPr>
    <w:rPr>
      <w:rFonts w:ascii="宋体"/>
      <w:sz w:val="24"/>
    </w:rPr>
  </w:style>
  <w:style w:type="paragraph" w:customStyle="1" w:styleId="114">
    <w:name w:val="tablecontents"/>
    <w:basedOn w:val="1"/>
    <w:qFormat/>
    <w:uiPriority w:val="0"/>
    <w:pPr>
      <w:widowControl/>
      <w:spacing w:after="60"/>
    </w:pPr>
    <w:rPr>
      <w:rFonts w:ascii="Arial" w:hAnsi="Arial"/>
      <w:kern w:val="0"/>
      <w:sz w:val="20"/>
    </w:rPr>
  </w:style>
  <w:style w:type="paragraph" w:customStyle="1" w:styleId="115">
    <w:name w:val="5 Char Char Char Char"/>
    <w:basedOn w:val="1"/>
    <w:qFormat/>
    <w:uiPriority w:val="0"/>
    <w:pPr>
      <w:keepNext/>
      <w:keepLines/>
      <w:spacing w:line="360" w:lineRule="auto"/>
      <w:ind w:firstLine="480" w:firstLineChars="200"/>
    </w:pPr>
    <w:rPr>
      <w:kern w:val="0"/>
      <w:sz w:val="24"/>
    </w:rPr>
  </w:style>
  <w:style w:type="paragraph" w:customStyle="1" w:styleId="116">
    <w:name w:val="Char Char Char Char Char Char Char"/>
    <w:basedOn w:val="1"/>
    <w:qFormat/>
    <w:uiPriority w:val="0"/>
    <w:pPr>
      <w:adjustRightInd w:val="0"/>
      <w:spacing w:line="360" w:lineRule="auto"/>
    </w:pPr>
    <w:rPr>
      <w:rFonts w:ascii="Tahoma" w:hAnsi="Tahoma"/>
      <w:kern w:val="0"/>
      <w:sz w:val="24"/>
    </w:rPr>
  </w:style>
  <w:style w:type="character" w:customStyle="1" w:styleId="117">
    <w:name w:val="readmail_locationtip"/>
    <w:qFormat/>
    <w:uiPriority w:val="0"/>
  </w:style>
  <w:style w:type="table" w:customStyle="1" w:styleId="118">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19">
    <w:name w:val="TOC 11"/>
    <w:basedOn w:val="1"/>
    <w:next w:val="1"/>
    <w:qFormat/>
    <w:locked/>
    <w:uiPriority w:val="39"/>
    <w:rPr>
      <w:szCs w:val="21"/>
    </w:rPr>
  </w:style>
  <w:style w:type="character" w:customStyle="1" w:styleId="120">
    <w:name w:val="副标题 字符"/>
    <w:basedOn w:val="53"/>
    <w:link w:val="37"/>
    <w:qFormat/>
    <w:uiPriority w:val="0"/>
    <w:rPr>
      <w:rFonts w:ascii="Cambria" w:hAnsi="Cambria"/>
      <w:b/>
      <w:bCs/>
      <w:kern w:val="28"/>
      <w:sz w:val="32"/>
      <w:szCs w:val="32"/>
    </w:rPr>
  </w:style>
  <w:style w:type="character" w:customStyle="1" w:styleId="121">
    <w:name w:val="技术规范书正文 Char"/>
    <w:link w:val="122"/>
    <w:qFormat/>
    <w:locked/>
    <w:uiPriority w:val="0"/>
    <w:rPr>
      <w:kern w:val="2"/>
      <w:sz w:val="24"/>
      <w:szCs w:val="24"/>
    </w:rPr>
  </w:style>
  <w:style w:type="paragraph" w:customStyle="1" w:styleId="122">
    <w:name w:val="技术规范书正文"/>
    <w:link w:val="121"/>
    <w:qFormat/>
    <w:uiPriority w:val="0"/>
    <w:pPr>
      <w:snapToGrid w:val="0"/>
      <w:spacing w:line="360" w:lineRule="auto"/>
    </w:pPr>
    <w:rPr>
      <w:rFonts w:ascii="Times New Roman" w:hAnsi="Times New Roman" w:eastAsia="宋体" w:cs="Times New Roman"/>
      <w:kern w:val="2"/>
      <w:sz w:val="24"/>
      <w:szCs w:val="24"/>
      <w:lang w:val="en-US" w:eastAsia="zh-CN" w:bidi="ar-SA"/>
    </w:rPr>
  </w:style>
  <w:style w:type="paragraph" w:customStyle="1" w:styleId="123">
    <w:name w:val="TOC 41"/>
    <w:basedOn w:val="1"/>
    <w:next w:val="1"/>
    <w:qFormat/>
    <w:locked/>
    <w:uiPriority w:val="0"/>
    <w:pPr>
      <w:ind w:left="1260" w:leftChars="600"/>
    </w:pPr>
    <w:rPr>
      <w:szCs w:val="21"/>
    </w:rPr>
  </w:style>
  <w:style w:type="paragraph" w:customStyle="1" w:styleId="124">
    <w:name w:val="TOC 51"/>
    <w:basedOn w:val="1"/>
    <w:next w:val="1"/>
    <w:qFormat/>
    <w:locked/>
    <w:uiPriority w:val="0"/>
    <w:pPr>
      <w:ind w:left="1680" w:leftChars="800"/>
    </w:pPr>
    <w:rPr>
      <w:szCs w:val="21"/>
    </w:rPr>
  </w:style>
  <w:style w:type="paragraph" w:customStyle="1" w:styleId="125">
    <w:name w:val="TOC 71"/>
    <w:basedOn w:val="1"/>
    <w:next w:val="1"/>
    <w:qFormat/>
    <w:locked/>
    <w:uiPriority w:val="0"/>
    <w:pPr>
      <w:ind w:left="2520" w:leftChars="1200"/>
    </w:pPr>
    <w:rPr>
      <w:szCs w:val="21"/>
    </w:rPr>
  </w:style>
  <w:style w:type="paragraph" w:customStyle="1" w:styleId="126">
    <w:name w:val="TOC 21"/>
    <w:basedOn w:val="1"/>
    <w:next w:val="1"/>
    <w:qFormat/>
    <w:locked/>
    <w:uiPriority w:val="0"/>
    <w:pPr>
      <w:ind w:left="420" w:leftChars="200"/>
    </w:pPr>
    <w:rPr>
      <w:szCs w:val="21"/>
    </w:rPr>
  </w:style>
  <w:style w:type="paragraph" w:customStyle="1" w:styleId="127">
    <w:name w:val="TOC 61"/>
    <w:basedOn w:val="1"/>
    <w:next w:val="1"/>
    <w:qFormat/>
    <w:locked/>
    <w:uiPriority w:val="0"/>
    <w:pPr>
      <w:ind w:left="2100" w:leftChars="1000"/>
    </w:pPr>
    <w:rPr>
      <w:szCs w:val="21"/>
    </w:rPr>
  </w:style>
  <w:style w:type="paragraph" w:customStyle="1" w:styleId="128">
    <w:name w:val="TOC 31"/>
    <w:basedOn w:val="1"/>
    <w:next w:val="1"/>
    <w:qFormat/>
    <w:locked/>
    <w:uiPriority w:val="0"/>
    <w:pPr>
      <w:ind w:left="840" w:leftChars="400"/>
    </w:pPr>
    <w:rPr>
      <w:szCs w:val="21"/>
    </w:rPr>
  </w:style>
  <w:style w:type="paragraph" w:customStyle="1" w:styleId="129">
    <w:name w:val="TOC 91"/>
    <w:basedOn w:val="1"/>
    <w:next w:val="1"/>
    <w:qFormat/>
    <w:locked/>
    <w:uiPriority w:val="0"/>
    <w:pPr>
      <w:ind w:left="3360" w:leftChars="1600"/>
    </w:pPr>
    <w:rPr>
      <w:szCs w:val="21"/>
    </w:rPr>
  </w:style>
  <w:style w:type="paragraph" w:customStyle="1" w:styleId="130">
    <w:name w:val="TOC 81"/>
    <w:basedOn w:val="1"/>
    <w:next w:val="1"/>
    <w:qFormat/>
    <w:locked/>
    <w:uiPriority w:val="0"/>
    <w:pPr>
      <w:ind w:left="2940" w:leftChars="1400"/>
    </w:pPr>
    <w:rPr>
      <w:szCs w:val="21"/>
    </w:rPr>
  </w:style>
  <w:style w:type="paragraph" w:customStyle="1" w:styleId="131">
    <w:name w:val="正文1"/>
    <w:basedOn w:val="1"/>
    <w:link w:val="176"/>
    <w:qFormat/>
    <w:uiPriority w:val="0"/>
    <w:pPr>
      <w:adjustRightInd w:val="0"/>
      <w:spacing w:line="360" w:lineRule="atLeast"/>
      <w:jc w:val="left"/>
      <w:textAlignment w:val="baseline"/>
    </w:pPr>
    <w:rPr>
      <w:rFonts w:ascii="宋体"/>
      <w:kern w:val="0"/>
      <w:sz w:val="24"/>
    </w:rPr>
  </w:style>
  <w:style w:type="paragraph" w:customStyle="1" w:styleId="132">
    <w:name w:val="样式1"/>
    <w:basedOn w:val="1"/>
    <w:link w:val="175"/>
    <w:qFormat/>
    <w:uiPriority w:val="0"/>
    <w:pPr>
      <w:adjustRightInd w:val="0"/>
      <w:spacing w:line="420" w:lineRule="auto"/>
      <w:jc w:val="center"/>
      <w:textAlignment w:val="baseline"/>
    </w:pPr>
    <w:rPr>
      <w:rFonts w:ascii="宋体"/>
      <w:kern w:val="0"/>
      <w:sz w:val="24"/>
      <w:szCs w:val="24"/>
    </w:rPr>
  </w:style>
  <w:style w:type="paragraph" w:customStyle="1" w:styleId="133">
    <w:name w:val="Char Char1 Char"/>
    <w:basedOn w:val="1"/>
    <w:qFormat/>
    <w:uiPriority w:val="0"/>
    <w:rPr>
      <w:rFonts w:ascii="宋体"/>
      <w:kern w:val="0"/>
      <w:sz w:val="24"/>
    </w:rPr>
  </w:style>
  <w:style w:type="paragraph" w:customStyle="1" w:styleId="134">
    <w:name w:val="纯文本1"/>
    <w:basedOn w:val="1"/>
    <w:qFormat/>
    <w:uiPriority w:val="0"/>
    <w:rPr>
      <w:rFonts w:ascii="宋体" w:hAnsi="Courier New"/>
    </w:rPr>
  </w:style>
  <w:style w:type="paragraph" w:customStyle="1" w:styleId="135">
    <w:name w:val="p0"/>
    <w:basedOn w:val="1"/>
    <w:qFormat/>
    <w:uiPriority w:val="0"/>
    <w:pPr>
      <w:widowControl/>
    </w:pPr>
    <w:rPr>
      <w:kern w:val="0"/>
      <w:szCs w:val="21"/>
    </w:rPr>
  </w:style>
  <w:style w:type="paragraph" w:customStyle="1" w:styleId="136">
    <w:name w:val="Char Char Char Char1"/>
    <w:basedOn w:val="1"/>
    <w:qFormat/>
    <w:uiPriority w:val="0"/>
    <w:rPr>
      <w:szCs w:val="24"/>
    </w:rPr>
  </w:style>
  <w:style w:type="character" w:customStyle="1" w:styleId="137">
    <w:name w:val="正文文本首行缩进 字符"/>
    <w:basedOn w:val="79"/>
    <w:link w:val="49"/>
    <w:qFormat/>
    <w:uiPriority w:val="0"/>
    <w:rPr>
      <w:rFonts w:ascii="宋体" w:hAnsi="宋体"/>
      <w:color w:val="0000FF"/>
      <w:kern w:val="2"/>
      <w:sz w:val="24"/>
      <w:szCs w:val="24"/>
    </w:rPr>
  </w:style>
  <w:style w:type="character" w:customStyle="1" w:styleId="138">
    <w:name w:val="标题 1 Char1"/>
    <w:basedOn w:val="53"/>
    <w:qFormat/>
    <w:uiPriority w:val="0"/>
    <w:rPr>
      <w:rFonts w:eastAsia="宋体"/>
      <w:b/>
      <w:bCs/>
      <w:color w:val="000000"/>
      <w:kern w:val="44"/>
      <w:sz w:val="24"/>
      <w:szCs w:val="32"/>
      <w:lang w:val="en-US" w:eastAsia="zh-CN" w:bidi="ar-SA"/>
    </w:rPr>
  </w:style>
  <w:style w:type="character" w:customStyle="1" w:styleId="139">
    <w:name w:val="标题 2 Char1"/>
    <w:basedOn w:val="53"/>
    <w:qFormat/>
    <w:uiPriority w:val="0"/>
    <w:rPr>
      <w:rFonts w:eastAsia="宋体"/>
      <w:b/>
      <w:bCs/>
      <w:kern w:val="2"/>
      <w:sz w:val="24"/>
      <w:lang w:val="en-US" w:eastAsia="zh-CN" w:bidi="ar-SA"/>
    </w:rPr>
  </w:style>
  <w:style w:type="paragraph" w:customStyle="1" w:styleId="140">
    <w:name w:val="Char Char Char"/>
    <w:basedOn w:val="1"/>
    <w:qFormat/>
    <w:uiPriority w:val="0"/>
    <w:rPr>
      <w:sz w:val="24"/>
      <w:szCs w:val="24"/>
    </w:rPr>
  </w:style>
  <w:style w:type="paragraph" w:customStyle="1" w:styleId="141">
    <w:name w:val="Char1 Char Char Char"/>
    <w:basedOn w:val="1"/>
    <w:qFormat/>
    <w:uiPriority w:val="0"/>
    <w:rPr>
      <w:sz w:val="24"/>
      <w:szCs w:val="24"/>
    </w:rPr>
  </w:style>
  <w:style w:type="paragraph" w:customStyle="1" w:styleId="142">
    <w:name w:val="Char Char Char Char Char Char Char Char Char Char Char Char"/>
    <w:basedOn w:val="1"/>
    <w:qFormat/>
    <w:uiPriority w:val="0"/>
    <w:rPr>
      <w:szCs w:val="24"/>
    </w:rPr>
  </w:style>
  <w:style w:type="paragraph" w:customStyle="1" w:styleId="143">
    <w:name w:val="Char Char2 Char Char Char Char Char Char Char Char Char1"/>
    <w:basedOn w:val="1"/>
    <w:qFormat/>
    <w:uiPriority w:val="0"/>
    <w:rPr>
      <w:sz w:val="24"/>
      <w:szCs w:val="24"/>
    </w:rPr>
  </w:style>
  <w:style w:type="paragraph" w:customStyle="1" w:styleId="144">
    <w:name w:val="Char Char"/>
    <w:basedOn w:val="1"/>
    <w:qFormat/>
    <w:uiPriority w:val="0"/>
    <w:rPr>
      <w:sz w:val="24"/>
      <w:szCs w:val="24"/>
    </w:rPr>
  </w:style>
  <w:style w:type="paragraph" w:customStyle="1" w:styleId="145">
    <w:name w:val="表格"/>
    <w:basedOn w:val="1"/>
    <w:qFormat/>
    <w:uiPriority w:val="0"/>
    <w:pPr>
      <w:adjustRightInd w:val="0"/>
      <w:spacing w:before="60" w:after="60"/>
      <w:jc w:val="center"/>
      <w:textAlignment w:val="baseline"/>
    </w:pPr>
    <w:rPr>
      <w:rFonts w:ascii="宋体"/>
      <w:kern w:val="0"/>
      <w:sz w:val="24"/>
    </w:rPr>
  </w:style>
  <w:style w:type="paragraph" w:customStyle="1" w:styleId="146">
    <w:name w:val="正文文本 31"/>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47">
    <w:name w:val="样式2"/>
    <w:basedOn w:val="1"/>
    <w:link w:val="171"/>
    <w:qFormat/>
    <w:uiPriority w:val="0"/>
    <w:pPr>
      <w:adjustRightInd w:val="0"/>
      <w:spacing w:line="410" w:lineRule="atLeast"/>
      <w:jc w:val="left"/>
      <w:textAlignment w:val="baseline"/>
    </w:pPr>
    <w:rPr>
      <w:kern w:val="0"/>
      <w:sz w:val="24"/>
    </w:rPr>
  </w:style>
  <w:style w:type="paragraph" w:customStyle="1" w:styleId="148">
    <w:name w:val="1-表内"/>
    <w:basedOn w:val="1"/>
    <w:qFormat/>
    <w:uiPriority w:val="0"/>
    <w:rPr>
      <w:rFonts w:ascii="宋体" w:hAnsi="宋体"/>
      <w:szCs w:val="21"/>
    </w:rPr>
  </w:style>
  <w:style w:type="paragraph" w:customStyle="1" w:styleId="149">
    <w:name w:val="表格侧编号"/>
    <w:next w:val="1"/>
    <w:qFormat/>
    <w:uiPriority w:val="0"/>
    <w:pPr>
      <w:widowControl w:val="0"/>
      <w:spacing w:line="360" w:lineRule="auto"/>
      <w:jc w:val="center"/>
    </w:pPr>
    <w:rPr>
      <w:rFonts w:ascii="宋体" w:hAnsi="Times New Roman" w:eastAsia="宋体" w:cs="Times New Roman"/>
      <w:kern w:val="2"/>
      <w:sz w:val="24"/>
      <w:lang w:val="en-US" w:eastAsia="zh-CN" w:bidi="ar-SA"/>
    </w:rPr>
  </w:style>
  <w:style w:type="paragraph" w:customStyle="1" w:styleId="150">
    <w:name w:val="Char Char Char Char Char Char Char Char Char Char Char Char1 Char Char Char Char"/>
    <w:basedOn w:val="1"/>
    <w:qFormat/>
    <w:uiPriority w:val="0"/>
    <w:rPr>
      <w:szCs w:val="24"/>
    </w:rPr>
  </w:style>
  <w:style w:type="character" w:customStyle="1" w:styleId="151">
    <w:name w:val="章节标题 Char Char"/>
    <w:basedOn w:val="53"/>
    <w:qFormat/>
    <w:uiPriority w:val="0"/>
    <w:rPr>
      <w:kern w:val="44"/>
      <w:sz w:val="44"/>
      <w:szCs w:val="44"/>
    </w:rPr>
  </w:style>
  <w:style w:type="paragraph" w:customStyle="1" w:styleId="152">
    <w:name w:val="Char Char Char Char Char Char1"/>
    <w:basedOn w:val="1"/>
    <w:qFormat/>
    <w:uiPriority w:val="0"/>
    <w:rPr>
      <w:szCs w:val="24"/>
    </w:rPr>
  </w:style>
  <w:style w:type="paragraph" w:customStyle="1" w:styleId="153">
    <w:name w:val="报告正文"/>
    <w:basedOn w:val="1"/>
    <w:qFormat/>
    <w:uiPriority w:val="0"/>
    <w:pPr>
      <w:spacing w:line="400" w:lineRule="exact"/>
      <w:ind w:firstLine="482"/>
    </w:pPr>
    <w:rPr>
      <w:lang w:bidi="he-IL"/>
    </w:rPr>
  </w:style>
  <w:style w:type="paragraph" w:customStyle="1" w:styleId="154">
    <w:name w:val="正文文本 32"/>
    <w:basedOn w:val="1"/>
    <w:qFormat/>
    <w:uiPriority w:val="0"/>
    <w:pPr>
      <w:adjustRightInd w:val="0"/>
      <w:spacing w:line="360" w:lineRule="auto"/>
      <w:jc w:val="center"/>
      <w:textAlignment w:val="baseline"/>
    </w:pPr>
    <w:rPr>
      <w:rFonts w:ascii="宋体"/>
      <w:b/>
      <w:color w:val="FF0000"/>
      <w:kern w:val="0"/>
      <w:sz w:val="24"/>
      <w:u w:val="single"/>
    </w:rPr>
  </w:style>
  <w:style w:type="paragraph" w:customStyle="1" w:styleId="155">
    <w:name w:val="Char Char Char2"/>
    <w:basedOn w:val="1"/>
    <w:qFormat/>
    <w:uiPriority w:val="0"/>
    <w:rPr>
      <w:szCs w:val="24"/>
    </w:rPr>
  </w:style>
  <w:style w:type="paragraph" w:customStyle="1" w:styleId="156">
    <w:name w:val="默认段落字体 Para Char Char Char Char"/>
    <w:basedOn w:val="1"/>
    <w:qFormat/>
    <w:uiPriority w:val="0"/>
    <w:rPr>
      <w:szCs w:val="24"/>
    </w:rPr>
  </w:style>
  <w:style w:type="paragraph" w:customStyle="1" w:styleId="157">
    <w:name w:val="Char Char1"/>
    <w:basedOn w:val="1"/>
    <w:qFormat/>
    <w:uiPriority w:val="0"/>
    <w:pPr>
      <w:adjustRightInd w:val="0"/>
      <w:spacing w:line="360" w:lineRule="atLeast"/>
      <w:jc w:val="left"/>
      <w:textAlignment w:val="baseline"/>
    </w:pPr>
    <w:rPr>
      <w:kern w:val="0"/>
      <w:sz w:val="24"/>
    </w:rPr>
  </w:style>
  <w:style w:type="character" w:customStyle="1" w:styleId="158">
    <w:name w:val="章节标题 Char"/>
    <w:qFormat/>
    <w:uiPriority w:val="0"/>
    <w:rPr>
      <w:rFonts w:eastAsia="宋体"/>
      <w:b/>
      <w:bCs/>
      <w:kern w:val="44"/>
      <w:sz w:val="44"/>
      <w:szCs w:val="44"/>
      <w:lang w:val="en-US" w:eastAsia="zh-CN" w:bidi="ar-SA"/>
    </w:rPr>
  </w:style>
  <w:style w:type="character" w:customStyle="1" w:styleId="159">
    <w:name w:val="标题 2 Char"/>
    <w:qFormat/>
    <w:uiPriority w:val="0"/>
    <w:rPr>
      <w:rFonts w:ascii="Arial" w:hAnsi="Arial" w:eastAsia="黑体"/>
      <w:b/>
      <w:bCs/>
      <w:kern w:val="2"/>
      <w:sz w:val="32"/>
      <w:szCs w:val="32"/>
      <w:lang w:val="en-US" w:eastAsia="zh-CN" w:bidi="ar-SA"/>
    </w:rPr>
  </w:style>
  <w:style w:type="character" w:customStyle="1" w:styleId="160">
    <w:name w:val="标题 3 Char"/>
    <w:qFormat/>
    <w:uiPriority w:val="0"/>
    <w:rPr>
      <w:rFonts w:eastAsia="宋体"/>
      <w:b/>
      <w:bCs/>
      <w:kern w:val="2"/>
      <w:sz w:val="32"/>
      <w:szCs w:val="32"/>
      <w:lang w:val="en-US" w:eastAsia="zh-CN" w:bidi="ar-SA"/>
    </w:rPr>
  </w:style>
  <w:style w:type="character" w:customStyle="1" w:styleId="161">
    <w:name w:val="标题 4 Char"/>
    <w:qFormat/>
    <w:uiPriority w:val="0"/>
    <w:rPr>
      <w:rFonts w:ascii="Arial" w:hAnsi="Arial" w:eastAsia="黑体"/>
      <w:b/>
      <w:bCs/>
      <w:kern w:val="2"/>
      <w:sz w:val="28"/>
      <w:szCs w:val="28"/>
      <w:lang w:val="en-US" w:eastAsia="zh-CN" w:bidi="ar-SA"/>
    </w:rPr>
  </w:style>
  <w:style w:type="character" w:customStyle="1" w:styleId="162">
    <w:name w:val="正文缩进 Char1"/>
    <w:qFormat/>
    <w:uiPriority w:val="0"/>
    <w:rPr>
      <w:rFonts w:eastAsia="宋体"/>
      <w:kern w:val="2"/>
      <w:sz w:val="21"/>
      <w:szCs w:val="24"/>
      <w:lang w:val="en-US" w:eastAsia="zh-CN" w:bidi="ar-SA"/>
    </w:rPr>
  </w:style>
  <w:style w:type="character" w:customStyle="1" w:styleId="163">
    <w:name w:val="标题 5 Char"/>
    <w:qFormat/>
    <w:uiPriority w:val="0"/>
    <w:rPr>
      <w:rFonts w:ascii="小标宋" w:eastAsia="宋体"/>
      <w:kern w:val="2"/>
      <w:sz w:val="24"/>
      <w:szCs w:val="24"/>
      <w:lang w:val="en-US" w:eastAsia="zh-CN" w:bidi="he-IL"/>
    </w:rPr>
  </w:style>
  <w:style w:type="character" w:customStyle="1" w:styleId="164">
    <w:name w:val="标题 6 Char"/>
    <w:qFormat/>
    <w:uiPriority w:val="0"/>
    <w:rPr>
      <w:rFonts w:ascii="Arial" w:hAnsi="Arial" w:eastAsia="黑体"/>
      <w:kern w:val="2"/>
      <w:sz w:val="24"/>
      <w:szCs w:val="24"/>
      <w:lang w:val="en-US" w:eastAsia="zh-CN" w:bidi="he-IL"/>
    </w:rPr>
  </w:style>
  <w:style w:type="character" w:customStyle="1" w:styleId="165">
    <w:name w:val="标题 7 Char"/>
    <w:qFormat/>
    <w:uiPriority w:val="0"/>
    <w:rPr>
      <w:rFonts w:ascii="宋体" w:eastAsia="宋体"/>
      <w:kern w:val="2"/>
      <w:sz w:val="24"/>
      <w:szCs w:val="24"/>
      <w:lang w:val="en-US" w:eastAsia="zh-CN" w:bidi="he-IL"/>
    </w:rPr>
  </w:style>
  <w:style w:type="character" w:customStyle="1" w:styleId="166">
    <w:name w:val="标题 9 Char"/>
    <w:qFormat/>
    <w:uiPriority w:val="0"/>
    <w:rPr>
      <w:rFonts w:ascii="Arial" w:hAnsi="Arial" w:eastAsia="黑体"/>
      <w:kern w:val="2"/>
      <w:sz w:val="21"/>
      <w:szCs w:val="21"/>
      <w:lang w:val="en-US" w:eastAsia="zh-CN" w:bidi="ar-SA"/>
    </w:rPr>
  </w:style>
  <w:style w:type="character" w:customStyle="1" w:styleId="167">
    <w:name w:val="日期 Char"/>
    <w:qFormat/>
    <w:uiPriority w:val="0"/>
    <w:rPr>
      <w:rFonts w:eastAsia="宋体"/>
      <w:kern w:val="2"/>
      <w:sz w:val="21"/>
      <w:szCs w:val="24"/>
      <w:lang w:val="en-US" w:eastAsia="zh-CN" w:bidi="ar-SA"/>
    </w:rPr>
  </w:style>
  <w:style w:type="character" w:customStyle="1" w:styleId="168">
    <w:name w:val="页眉 Char"/>
    <w:qFormat/>
    <w:uiPriority w:val="0"/>
    <w:rPr>
      <w:rFonts w:eastAsia="宋体"/>
      <w:kern w:val="2"/>
      <w:sz w:val="18"/>
      <w:szCs w:val="18"/>
      <w:lang w:val="en-US" w:eastAsia="zh-CN" w:bidi="ar-SA"/>
    </w:rPr>
  </w:style>
  <w:style w:type="character" w:customStyle="1" w:styleId="169">
    <w:name w:val="文档结构图 Char"/>
    <w:qFormat/>
    <w:uiPriority w:val="0"/>
    <w:rPr>
      <w:rFonts w:eastAsia="宋体"/>
      <w:sz w:val="21"/>
      <w:szCs w:val="21"/>
      <w:lang w:val="zh-CN" w:eastAsia="zh-CN" w:bidi="ar-SA"/>
    </w:rPr>
  </w:style>
  <w:style w:type="character" w:customStyle="1" w:styleId="170">
    <w:name w:val="正文文本 Char"/>
    <w:qFormat/>
    <w:uiPriority w:val="0"/>
    <w:rPr>
      <w:rFonts w:eastAsia="宋体"/>
      <w:sz w:val="24"/>
      <w:lang w:val="zh-CN" w:eastAsia="zh-CN" w:bidi="ar-SA"/>
    </w:rPr>
  </w:style>
  <w:style w:type="character" w:customStyle="1" w:styleId="171">
    <w:name w:val="样式2 Char1"/>
    <w:link w:val="147"/>
    <w:qFormat/>
    <w:uiPriority w:val="0"/>
    <w:rPr>
      <w:sz w:val="24"/>
    </w:rPr>
  </w:style>
  <w:style w:type="character" w:customStyle="1" w:styleId="172">
    <w:name w:val="正文文本缩进 Char"/>
    <w:qFormat/>
    <w:uiPriority w:val="0"/>
    <w:rPr>
      <w:rFonts w:eastAsia="宋体"/>
      <w:kern w:val="2"/>
      <w:sz w:val="21"/>
      <w:szCs w:val="24"/>
      <w:lang w:val="en-US" w:eastAsia="zh-CN" w:bidi="ar-SA"/>
    </w:rPr>
  </w:style>
  <w:style w:type="paragraph" w:customStyle="1" w:styleId="173">
    <w:name w:val="样式"/>
    <w:link w:val="17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4">
    <w:name w:val="样式 Char"/>
    <w:link w:val="173"/>
    <w:qFormat/>
    <w:uiPriority w:val="0"/>
    <w:rPr>
      <w:rFonts w:ascii="宋体" w:hAnsi="宋体" w:cs="宋体"/>
      <w:sz w:val="24"/>
      <w:szCs w:val="24"/>
    </w:rPr>
  </w:style>
  <w:style w:type="character" w:customStyle="1" w:styleId="175">
    <w:name w:val="样式1 Char"/>
    <w:link w:val="132"/>
    <w:qFormat/>
    <w:uiPriority w:val="0"/>
    <w:rPr>
      <w:rFonts w:ascii="宋体"/>
      <w:sz w:val="24"/>
      <w:szCs w:val="24"/>
    </w:rPr>
  </w:style>
  <w:style w:type="character" w:customStyle="1" w:styleId="176">
    <w:name w:val="正文1 Char"/>
    <w:link w:val="131"/>
    <w:qFormat/>
    <w:uiPriority w:val="0"/>
    <w:rPr>
      <w:rFonts w:ascii="宋体"/>
      <w:sz w:val="24"/>
    </w:rPr>
  </w:style>
  <w:style w:type="character" w:customStyle="1" w:styleId="177">
    <w:name w:val="批注框文本 Char"/>
    <w:qFormat/>
    <w:uiPriority w:val="0"/>
    <w:rPr>
      <w:rFonts w:eastAsia="宋体"/>
      <w:kern w:val="2"/>
      <w:sz w:val="18"/>
      <w:szCs w:val="18"/>
      <w:lang w:val="en-US" w:eastAsia="zh-CN" w:bidi="ar-SA"/>
    </w:rPr>
  </w:style>
  <w:style w:type="character" w:customStyle="1" w:styleId="178">
    <w:name w:val="正文文本缩进 2 Char"/>
    <w:link w:val="179"/>
    <w:qFormat/>
    <w:uiPriority w:val="0"/>
    <w:rPr>
      <w:sz w:val="24"/>
    </w:rPr>
  </w:style>
  <w:style w:type="paragraph" w:customStyle="1" w:styleId="179">
    <w:name w:val="正文文本缩进 21"/>
    <w:basedOn w:val="1"/>
    <w:link w:val="178"/>
    <w:qFormat/>
    <w:uiPriority w:val="0"/>
    <w:pPr>
      <w:ind w:firstLine="840"/>
    </w:pPr>
    <w:rPr>
      <w:kern w:val="0"/>
      <w:sz w:val="24"/>
    </w:rPr>
  </w:style>
  <w:style w:type="character" w:customStyle="1" w:styleId="180">
    <w:name w:val="标书正文 Char Char"/>
    <w:link w:val="181"/>
    <w:qFormat/>
    <w:uiPriority w:val="0"/>
    <w:rPr>
      <w:kern w:val="2"/>
      <w:sz w:val="24"/>
      <w:szCs w:val="24"/>
    </w:rPr>
  </w:style>
  <w:style w:type="paragraph" w:customStyle="1" w:styleId="181">
    <w:name w:val="标书正文"/>
    <w:basedOn w:val="1"/>
    <w:link w:val="180"/>
    <w:qFormat/>
    <w:uiPriority w:val="0"/>
    <w:pPr>
      <w:spacing w:line="360" w:lineRule="auto"/>
      <w:ind w:firstLine="200" w:firstLineChars="200"/>
      <w:jc w:val="left"/>
    </w:pPr>
    <w:rPr>
      <w:sz w:val="24"/>
      <w:szCs w:val="24"/>
    </w:rPr>
  </w:style>
  <w:style w:type="character" w:customStyle="1" w:styleId="182">
    <w:name w:val="二级标题 Char Char"/>
    <w:link w:val="183"/>
    <w:qFormat/>
    <w:uiPriority w:val="0"/>
    <w:rPr>
      <w:rFonts w:ascii="宋体"/>
      <w:bCs/>
      <w:color w:val="000000"/>
      <w:sz w:val="24"/>
      <w:szCs w:val="24"/>
    </w:rPr>
  </w:style>
  <w:style w:type="paragraph" w:customStyle="1" w:styleId="183">
    <w:name w:val="二级标题"/>
    <w:basedOn w:val="1"/>
    <w:link w:val="182"/>
    <w:qFormat/>
    <w:uiPriority w:val="0"/>
    <w:pPr>
      <w:adjustRightInd w:val="0"/>
      <w:spacing w:line="360" w:lineRule="auto"/>
      <w:jc w:val="center"/>
      <w:textAlignment w:val="baseline"/>
      <w:outlineLvl w:val="1"/>
    </w:pPr>
    <w:rPr>
      <w:rFonts w:ascii="宋体"/>
      <w:bCs/>
      <w:color w:val="000000"/>
      <w:kern w:val="0"/>
      <w:sz w:val="24"/>
      <w:szCs w:val="24"/>
    </w:rPr>
  </w:style>
  <w:style w:type="character" w:customStyle="1" w:styleId="184">
    <w:name w:val="样式 标题 1b1章节标题章标题 1-*+h11st levelSection Headl1 + 四号 Char Char"/>
    <w:link w:val="185"/>
    <w:qFormat/>
    <w:uiPriority w:val="0"/>
    <w:rPr>
      <w:b/>
      <w:bCs/>
      <w:color w:val="000000"/>
      <w:kern w:val="44"/>
      <w:sz w:val="28"/>
      <w:szCs w:val="28"/>
    </w:rPr>
  </w:style>
  <w:style w:type="paragraph" w:customStyle="1" w:styleId="185">
    <w:name w:val="样式 标题 1b1章节标题章标题 1-*+h11st levelSection Headl1 + 四号"/>
    <w:basedOn w:val="186"/>
    <w:link w:val="184"/>
    <w:qFormat/>
    <w:uiPriority w:val="0"/>
    <w:pPr>
      <w:tabs>
        <w:tab w:val="left" w:leader="dot" w:pos="0"/>
        <w:tab w:val="left" w:pos="900"/>
      </w:tabs>
      <w:spacing w:before="0"/>
      <w:ind w:left="0" w:firstLine="0"/>
    </w:pPr>
    <w:rPr>
      <w:bCs/>
      <w:color w:val="000000"/>
      <w:szCs w:val="28"/>
    </w:rPr>
  </w:style>
  <w:style w:type="paragraph" w:customStyle="1" w:styleId="186">
    <w:name w:val="标题1"/>
    <w:basedOn w:val="2"/>
    <w:qFormat/>
    <w:uiPriority w:val="0"/>
    <w:pPr>
      <w:keepLines/>
      <w:tabs>
        <w:tab w:val="left" w:pos="900"/>
      </w:tabs>
      <w:topLinePunct w:val="0"/>
      <w:adjustRightInd w:val="0"/>
      <w:spacing w:before="120" w:line="360" w:lineRule="auto"/>
      <w:ind w:left="900" w:hanging="420"/>
      <w:jc w:val="left"/>
      <w:textAlignment w:val="baseline"/>
    </w:pPr>
    <w:rPr>
      <w:b/>
      <w:kern w:val="44"/>
      <w:szCs w:val="24"/>
    </w:rPr>
  </w:style>
  <w:style w:type="character" w:customStyle="1" w:styleId="187">
    <w:name w:val="YJB1 Char Char"/>
    <w:link w:val="188"/>
    <w:qFormat/>
    <w:uiPriority w:val="0"/>
    <w:rPr>
      <w:rFonts w:ascii="Arial" w:hAnsi="Arial"/>
      <w:kern w:val="2"/>
      <w:sz w:val="24"/>
      <w:szCs w:val="24"/>
    </w:rPr>
  </w:style>
  <w:style w:type="paragraph" w:customStyle="1" w:styleId="188">
    <w:name w:val="YJB1"/>
    <w:basedOn w:val="1"/>
    <w:link w:val="187"/>
    <w:qFormat/>
    <w:uiPriority w:val="0"/>
    <w:pPr>
      <w:spacing w:line="360" w:lineRule="auto"/>
      <w:ind w:left="450" w:leftChars="450"/>
    </w:pPr>
    <w:rPr>
      <w:rFonts w:ascii="Arial" w:hAnsi="Arial"/>
      <w:sz w:val="24"/>
      <w:szCs w:val="24"/>
    </w:rPr>
  </w:style>
  <w:style w:type="character" w:customStyle="1" w:styleId="189">
    <w:name w:val="YJB2 Char Char"/>
    <w:link w:val="190"/>
    <w:qFormat/>
    <w:uiPriority w:val="0"/>
    <w:rPr>
      <w:rFonts w:ascii="Arial" w:hAnsi="Arial"/>
      <w:kern w:val="2"/>
      <w:sz w:val="24"/>
      <w:szCs w:val="24"/>
    </w:rPr>
  </w:style>
  <w:style w:type="paragraph" w:customStyle="1" w:styleId="190">
    <w:name w:val="YJB2"/>
    <w:basedOn w:val="1"/>
    <w:link w:val="189"/>
    <w:qFormat/>
    <w:uiPriority w:val="0"/>
    <w:pPr>
      <w:spacing w:line="360" w:lineRule="auto"/>
      <w:ind w:left="450" w:hanging="450" w:hangingChars="450"/>
    </w:pPr>
    <w:rPr>
      <w:rFonts w:ascii="Arial" w:hAnsi="Arial"/>
      <w:sz w:val="24"/>
      <w:szCs w:val="24"/>
    </w:rPr>
  </w:style>
  <w:style w:type="character" w:customStyle="1" w:styleId="191">
    <w:name w:val="样式 标题 1章节标题 + 三号 Char Char"/>
    <w:link w:val="192"/>
    <w:qFormat/>
    <w:uiPriority w:val="0"/>
    <w:rPr>
      <w:b/>
      <w:bCs/>
      <w:kern w:val="44"/>
      <w:sz w:val="32"/>
      <w:szCs w:val="44"/>
    </w:rPr>
  </w:style>
  <w:style w:type="paragraph" w:customStyle="1" w:styleId="192">
    <w:name w:val="样式 标题 1章节标题 + 三号"/>
    <w:basedOn w:val="2"/>
    <w:link w:val="191"/>
    <w:qFormat/>
    <w:uiPriority w:val="0"/>
    <w:pPr>
      <w:keepLines/>
      <w:tabs>
        <w:tab w:val="left" w:pos="0"/>
        <w:tab w:val="left" w:pos="360"/>
      </w:tabs>
      <w:topLinePunct w:val="0"/>
      <w:adjustRightInd w:val="0"/>
      <w:spacing w:before="340" w:after="330" w:line="578" w:lineRule="atLeast"/>
      <w:ind w:hanging="360"/>
      <w:jc w:val="left"/>
      <w:textAlignment w:val="baseline"/>
    </w:pPr>
    <w:rPr>
      <w:b/>
      <w:bCs/>
      <w:kern w:val="44"/>
      <w:sz w:val="32"/>
      <w:szCs w:val="44"/>
    </w:rPr>
  </w:style>
  <w:style w:type="paragraph" w:customStyle="1" w:styleId="193">
    <w:name w:val="正文文本缩进 22"/>
    <w:basedOn w:val="1"/>
    <w:qFormat/>
    <w:uiPriority w:val="0"/>
    <w:pPr>
      <w:ind w:firstLine="840"/>
    </w:pPr>
    <w:rPr>
      <w:kern w:val="0"/>
      <w:sz w:val="24"/>
      <w:lang w:val="zh-CN"/>
    </w:rPr>
  </w:style>
  <w:style w:type="paragraph" w:customStyle="1" w:styleId="194">
    <w:name w:val="Char Char Char Char Char Char Char Char Char Char Char Char Char Char"/>
    <w:basedOn w:val="1"/>
    <w:qFormat/>
    <w:uiPriority w:val="0"/>
    <w:pPr>
      <w:spacing w:line="360" w:lineRule="auto"/>
      <w:ind w:firstLine="200" w:firstLineChars="200"/>
    </w:pPr>
    <w:rPr>
      <w:rFonts w:ascii="宋体" w:cs="宋体"/>
      <w:sz w:val="24"/>
      <w:szCs w:val="24"/>
    </w:rPr>
  </w:style>
  <w:style w:type="character" w:customStyle="1" w:styleId="195">
    <w:name w:val="正文文本 3 字符"/>
    <w:basedOn w:val="53"/>
    <w:link w:val="19"/>
    <w:qFormat/>
    <w:uiPriority w:val="0"/>
    <w:rPr>
      <w:kern w:val="2"/>
      <w:sz w:val="16"/>
      <w:szCs w:val="16"/>
    </w:rPr>
  </w:style>
  <w:style w:type="character" w:customStyle="1" w:styleId="196">
    <w:name w:val="信息标题 字符"/>
    <w:basedOn w:val="53"/>
    <w:link w:val="43"/>
    <w:qFormat/>
    <w:uiPriority w:val="0"/>
    <w:rPr>
      <w:rFonts w:ascii="Arial" w:hAnsi="Arial"/>
      <w:spacing w:val="-5"/>
    </w:rPr>
  </w:style>
  <w:style w:type="paragraph" w:customStyle="1" w:styleId="197">
    <w:name w:val="日期2"/>
    <w:basedOn w:val="1"/>
    <w:next w:val="1"/>
    <w:qFormat/>
    <w:uiPriority w:val="0"/>
    <w:pPr>
      <w:adjustRightInd w:val="0"/>
      <w:spacing w:line="312" w:lineRule="atLeast"/>
      <w:textAlignment w:val="baseline"/>
    </w:pPr>
    <w:rPr>
      <w:kern w:val="0"/>
      <w:sz w:val="28"/>
      <w:szCs w:val="28"/>
    </w:rPr>
  </w:style>
  <w:style w:type="paragraph" w:customStyle="1" w:styleId="198">
    <w:name w:val="正文文本1"/>
    <w:basedOn w:val="1"/>
    <w:qFormat/>
    <w:uiPriority w:val="0"/>
    <w:pPr>
      <w:tabs>
        <w:tab w:val="left" w:pos="720"/>
      </w:tabs>
      <w:adjustRightInd w:val="0"/>
      <w:spacing w:line="360" w:lineRule="auto"/>
      <w:textAlignment w:val="baseline"/>
    </w:pPr>
    <w:rPr>
      <w:rFonts w:ascii="宋体"/>
      <w:kern w:val="0"/>
      <w:sz w:val="28"/>
      <w:szCs w:val="28"/>
    </w:rPr>
  </w:style>
  <w:style w:type="paragraph" w:customStyle="1" w:styleId="199">
    <w:name w:val="纯文本2"/>
    <w:basedOn w:val="1"/>
    <w:qFormat/>
    <w:uiPriority w:val="0"/>
    <w:pPr>
      <w:autoSpaceDE w:val="0"/>
      <w:autoSpaceDN w:val="0"/>
      <w:adjustRightInd w:val="0"/>
    </w:pPr>
    <w:rPr>
      <w:rFonts w:ascii="楷体_GB2312" w:eastAsia="楷体_GB2312"/>
      <w:kern w:val="0"/>
      <w:sz w:val="28"/>
      <w:szCs w:val="28"/>
    </w:rPr>
  </w:style>
  <w:style w:type="paragraph" w:customStyle="1" w:styleId="200">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3">
    <w:name w:val="xl70"/>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04">
    <w:name w:val="xl71"/>
    <w:basedOn w:val="1"/>
    <w:qFormat/>
    <w:uiPriority w:val="0"/>
    <w:pPr>
      <w:widowControl/>
      <w:spacing w:before="100" w:beforeAutospacing="1" w:after="100" w:afterAutospacing="1"/>
      <w:jc w:val="right"/>
    </w:pPr>
    <w:rPr>
      <w:rFonts w:ascii="宋体" w:hAnsi="宋体" w:cs="宋体"/>
      <w:kern w:val="0"/>
      <w:szCs w:val="21"/>
    </w:rPr>
  </w:style>
  <w:style w:type="paragraph" w:customStyle="1" w:styleId="20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09">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0">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11">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2">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3">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Cs w:val="21"/>
    </w:rPr>
  </w:style>
  <w:style w:type="paragraph" w:customStyle="1" w:styleId="21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Cs w:val="21"/>
    </w:rPr>
  </w:style>
  <w:style w:type="paragraph" w:customStyle="1" w:styleId="215">
    <w:name w:val="xl82"/>
    <w:basedOn w:val="1"/>
    <w:qFormat/>
    <w:uiPriority w:val="0"/>
    <w:pPr>
      <w:widowControl/>
      <w:spacing w:before="100" w:beforeAutospacing="1" w:after="100" w:afterAutospacing="1"/>
      <w:jc w:val="center"/>
    </w:pPr>
    <w:rPr>
      <w:rFonts w:ascii="宋体" w:hAnsi="宋体" w:cs="宋体"/>
      <w:b/>
      <w:bCs/>
      <w:kern w:val="0"/>
      <w:szCs w:val="21"/>
    </w:rPr>
  </w:style>
  <w:style w:type="paragraph" w:customStyle="1" w:styleId="216">
    <w:name w:val="Char2"/>
    <w:basedOn w:val="1"/>
    <w:qFormat/>
    <w:uiPriority w:val="0"/>
    <w:pPr>
      <w:adjustRightInd w:val="0"/>
      <w:spacing w:line="360" w:lineRule="atLeast"/>
    </w:pPr>
    <w:rPr>
      <w:szCs w:val="24"/>
    </w:rPr>
  </w:style>
  <w:style w:type="paragraph" w:customStyle="1" w:styleId="217">
    <w:name w:val="列出段落"/>
    <w:basedOn w:val="1"/>
    <w:qFormat/>
    <w:uiPriority w:val="0"/>
    <w:pPr>
      <w:ind w:firstLine="420" w:firstLineChars="200"/>
    </w:pPr>
    <w:rPr>
      <w:rFonts w:ascii="Calibri" w:hAnsi="Calibri"/>
      <w:szCs w:val="22"/>
    </w:rPr>
  </w:style>
  <w:style w:type="paragraph" w:customStyle="1" w:styleId="218">
    <w:name w:val="TOC 标题1"/>
    <w:basedOn w:val="2"/>
    <w:next w:val="1"/>
    <w:qFormat/>
    <w:uiPriority w:val="39"/>
    <w:pPr>
      <w:keepLines/>
      <w:widowControl/>
      <w:topLinePunct w:val="0"/>
      <w:spacing w:before="480" w:line="276" w:lineRule="auto"/>
      <w:ind w:left="0"/>
      <w:jc w:val="left"/>
      <w:outlineLvl w:val="9"/>
    </w:pPr>
    <w:rPr>
      <w:rFonts w:ascii="Cambria" w:hAnsi="Cambria"/>
      <w:b/>
      <w:bCs/>
      <w:color w:val="365F91"/>
      <w:kern w:val="0"/>
      <w:szCs w:val="28"/>
    </w:rPr>
  </w:style>
  <w:style w:type="paragraph" w:customStyle="1" w:styleId="219">
    <w:name w:val="样式3"/>
    <w:basedOn w:val="2"/>
    <w:qFormat/>
    <w:uiPriority w:val="0"/>
    <w:pPr>
      <w:keepLines/>
      <w:topLinePunct w:val="0"/>
      <w:adjustRightInd w:val="0"/>
      <w:spacing w:line="460" w:lineRule="exact"/>
      <w:ind w:left="0"/>
      <w:jc w:val="left"/>
      <w:textAlignment w:val="baseline"/>
    </w:pPr>
    <w:rPr>
      <w:rFonts w:ascii="宋体"/>
      <w:b/>
      <w:kern w:val="44"/>
    </w:rPr>
  </w:style>
  <w:style w:type="paragraph" w:customStyle="1" w:styleId="220">
    <w:name w:val="样式4"/>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1">
    <w:name w:val="样式5"/>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2">
    <w:name w:val="样式6"/>
    <w:basedOn w:val="2"/>
    <w:qFormat/>
    <w:uiPriority w:val="0"/>
    <w:pPr>
      <w:keepLines/>
      <w:topLinePunct w:val="0"/>
      <w:adjustRightInd w:val="0"/>
      <w:spacing w:line="460" w:lineRule="exact"/>
      <w:ind w:left="0"/>
      <w:jc w:val="left"/>
      <w:textAlignment w:val="baseline"/>
    </w:pPr>
    <w:rPr>
      <w:rFonts w:ascii="宋体" w:hAnsi="宋体"/>
      <w:b/>
      <w:kern w:val="44"/>
      <w:sz w:val="32"/>
    </w:rPr>
  </w:style>
  <w:style w:type="paragraph" w:customStyle="1" w:styleId="223">
    <w:name w:val="Char Char Char Char Char Char Char1"/>
    <w:basedOn w:val="1"/>
    <w:qFormat/>
    <w:uiPriority w:val="0"/>
    <w:rPr>
      <w:szCs w:val="24"/>
    </w:rPr>
  </w:style>
  <w:style w:type="paragraph" w:customStyle="1" w:styleId="224">
    <w:name w:val="Char Char Char Char Char Char Char Char Char1"/>
    <w:basedOn w:val="1"/>
    <w:qFormat/>
    <w:uiPriority w:val="0"/>
    <w:rPr>
      <w:szCs w:val="24"/>
    </w:rPr>
  </w:style>
  <w:style w:type="paragraph" w:customStyle="1" w:styleId="225">
    <w:name w:val="纯文本3"/>
    <w:basedOn w:val="1"/>
    <w:qFormat/>
    <w:uiPriority w:val="0"/>
    <w:pPr>
      <w:adjustRightInd w:val="0"/>
      <w:textAlignment w:val="baseline"/>
    </w:pPr>
    <w:rPr>
      <w:rFonts w:ascii="宋体" w:hAnsi="Courier New"/>
    </w:rPr>
  </w:style>
  <w:style w:type="paragraph" w:customStyle="1" w:styleId="226">
    <w:name w:val="样式20"/>
    <w:basedOn w:val="46"/>
    <w:next w:val="46"/>
    <w:qFormat/>
    <w:uiPriority w:val="0"/>
    <w:pPr>
      <w:spacing w:line="360" w:lineRule="auto"/>
      <w:jc w:val="both"/>
      <w:textAlignment w:val="auto"/>
    </w:pPr>
  </w:style>
  <w:style w:type="paragraph" w:customStyle="1" w:styleId="227">
    <w:name w:val="Char Char Char Char Char Char Char Char Char Char Char Char Char1"/>
    <w:basedOn w:val="1"/>
    <w:qFormat/>
    <w:uiPriority w:val="0"/>
    <w:rPr>
      <w:szCs w:val="24"/>
    </w:rPr>
  </w:style>
  <w:style w:type="paragraph" w:customStyle="1" w:styleId="228">
    <w:name w:val="Char1 Char Char Char1"/>
    <w:basedOn w:val="1"/>
    <w:semiHidden/>
    <w:qFormat/>
    <w:uiPriority w:val="0"/>
    <w:pPr>
      <w:snapToGrid w:val="0"/>
      <w:spacing w:line="440" w:lineRule="atLeast"/>
    </w:pPr>
    <w:rPr>
      <w:rFonts w:ascii="宋体"/>
      <w:sz w:val="24"/>
      <w:szCs w:val="24"/>
    </w:rPr>
  </w:style>
  <w:style w:type="paragraph" w:customStyle="1" w:styleId="229">
    <w:name w:val="TOC 标题11"/>
    <w:next w:val="1"/>
    <w:autoRedefine/>
    <w:unhideWhenUsed/>
    <w:qFormat/>
    <w:uiPriority w:val="39"/>
    <w:pPr>
      <w:keepNext/>
      <w:keepLines/>
      <w:widowControl w:val="0"/>
      <w:spacing w:before="340" w:after="330" w:line="578" w:lineRule="auto"/>
      <w:jc w:val="both"/>
    </w:pPr>
    <w:rPr>
      <w:rFonts w:ascii="Times New Roman" w:hAnsi="Times New Roman" w:eastAsia="宋体" w:cs="Times New Roman"/>
      <w:b/>
      <w:bCs/>
      <w:kern w:val="44"/>
      <w:sz w:val="44"/>
      <w:szCs w:val="44"/>
      <w:lang w:val="en-US" w:eastAsia="zh-CN" w:bidi="ar-SA"/>
    </w:rPr>
  </w:style>
  <w:style w:type="paragraph" w:customStyle="1" w:styleId="230">
    <w:name w:val="WPSOffice手动目录 1"/>
    <w:autoRedefine/>
    <w:qFormat/>
    <w:uiPriority w:val="0"/>
    <w:rPr>
      <w:rFonts w:asciiTheme="minorHAnsi" w:hAnsiTheme="minorHAnsi" w:eastAsiaTheme="minorEastAsia" w:cstheme="minorBidi"/>
      <w:lang w:val="en-US" w:eastAsia="zh-CN" w:bidi="ar-SA"/>
    </w:rPr>
  </w:style>
  <w:style w:type="character" w:customStyle="1" w:styleId="231">
    <w:name w:val="正文文本首行缩进 2 字符"/>
    <w:basedOn w:val="86"/>
    <w:link w:val="50"/>
    <w:qFormat/>
    <w:uiPriority w:val="0"/>
    <w:rPr>
      <w:rFonts w:eastAsia="仿宋_GB2312"/>
      <w:kern w:val="2"/>
      <w:sz w:val="30"/>
      <w:szCs w:val="24"/>
    </w:rPr>
  </w:style>
  <w:style w:type="table" w:customStyle="1" w:styleId="232">
    <w:name w:val="Table Normal"/>
    <w:autoRedefine/>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pPr>
      <w:widowControl/>
      <w:jc w:val="left"/>
    </w:pPr>
    <w:rPr>
      <w:rFonts w:eastAsia="Times New Roman"/>
      <w:spacing w:val="-6"/>
      <w:kern w:val="0"/>
      <w:sz w:val="20"/>
      <w:lang w:eastAsia="en-US"/>
    </w:rPr>
  </w:style>
  <w:style w:type="paragraph" w:styleId="234">
    <w:name w:val="No Spacing"/>
    <w:autoRedefine/>
    <w:qFormat/>
    <w:uiPriority w:val="1"/>
    <w:pPr>
      <w:adjustRightInd w:val="0"/>
      <w:snapToGrid w:val="0"/>
    </w:pPr>
    <w:rPr>
      <w:rFonts w:ascii="Tahoma" w:hAnsi="Tahoma" w:eastAsia="微软雅黑" w:cstheme="minorBidi"/>
      <w:sz w:val="22"/>
      <w:szCs w:val="22"/>
      <w:lang w:val="en-US" w:eastAsia="zh-CN" w:bidi="ar-SA"/>
    </w:rPr>
  </w:style>
  <w:style w:type="paragraph" w:customStyle="1" w:styleId="235">
    <w:name w:val="引言二级条标题"/>
    <w:basedOn w:val="236"/>
    <w:next w:val="237"/>
    <w:autoRedefine/>
    <w:qFormat/>
    <w:uiPriority w:val="99"/>
    <w:pPr>
      <w:tabs>
        <w:tab w:val="left" w:pos="1140"/>
      </w:tabs>
    </w:pPr>
  </w:style>
  <w:style w:type="paragraph" w:customStyle="1" w:styleId="236">
    <w:name w:val="引言一级条标题"/>
    <w:basedOn w:val="1"/>
    <w:next w:val="237"/>
    <w:autoRedefine/>
    <w:qFormat/>
    <w:uiPriority w:val="99"/>
    <w:pPr>
      <w:widowControl/>
      <w:tabs>
        <w:tab w:val="left" w:pos="1140"/>
      </w:tabs>
      <w:jc w:val="left"/>
    </w:pPr>
    <w:rPr>
      <w:rFonts w:eastAsia="黑体" w:cs="宋体"/>
      <w:b/>
      <w:bCs/>
      <w:spacing w:val="-6"/>
      <w:kern w:val="0"/>
      <w:sz w:val="24"/>
      <w:szCs w:val="21"/>
    </w:rPr>
  </w:style>
  <w:style w:type="paragraph" w:customStyle="1" w:styleId="237">
    <w:name w:val="段"/>
    <w:basedOn w:val="1"/>
    <w:autoRedefine/>
    <w:qFormat/>
    <w:uiPriority w:val="0"/>
    <w:pPr>
      <w:widowControl/>
      <w:tabs>
        <w:tab w:val="left" w:pos="425"/>
        <w:tab w:val="left" w:pos="1637"/>
      </w:tabs>
      <w:spacing w:line="360" w:lineRule="auto"/>
      <w:ind w:left="425" w:hanging="425"/>
    </w:pPr>
    <w:rPr>
      <w:rFonts w:eastAsia="隶书" w:cs="宋体"/>
      <w:b/>
      <w:spacing w:val="-6"/>
      <w:kern w:val="0"/>
      <w:sz w:val="24"/>
      <w:szCs w:val="24"/>
    </w:rPr>
  </w:style>
  <w:style w:type="paragraph" w:customStyle="1" w:styleId="238">
    <w:name w:val="Default"/>
    <w:autoRedefine/>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239">
    <w:name w:val="font21"/>
    <w:basedOn w:val="53"/>
    <w:autoRedefine/>
    <w:qFormat/>
    <w:uiPriority w:val="0"/>
    <w:rPr>
      <w:rFonts w:hint="default" w:ascii="Times New Roman" w:hAnsi="Times New Roman" w:cs="Times New Roman"/>
      <w:color w:val="000000"/>
      <w:sz w:val="24"/>
      <w:szCs w:val="24"/>
      <w:u w:val="none"/>
    </w:rPr>
  </w:style>
  <w:style w:type="paragraph" w:customStyle="1" w:styleId="240">
    <w:name w:val="_Style 28"/>
    <w:basedOn w:val="1"/>
    <w:next w:val="39"/>
    <w:autoRedefine/>
    <w:qFormat/>
    <w:uiPriority w:val="0"/>
    <w:pPr>
      <w:widowControl/>
      <w:spacing w:line="360" w:lineRule="auto"/>
      <w:ind w:firstLine="840" w:firstLineChars="350"/>
      <w:jc w:val="left"/>
      <w:textAlignment w:val="baseline"/>
    </w:pPr>
    <w:rPr>
      <w:rFonts w:cs="宋体"/>
      <w:color w:val="000000"/>
      <w:spacing w:val="-6"/>
      <w:kern w:val="0"/>
      <w:sz w:val="24"/>
      <w:szCs w:val="24"/>
    </w:rPr>
  </w:style>
  <w:style w:type="character" w:customStyle="1" w:styleId="241">
    <w:name w:val="15"/>
    <w:basedOn w:val="53"/>
    <w:qFormat/>
    <w:uiPriority w:val="0"/>
    <w:rPr>
      <w:rFonts w:hint="default" w:ascii="Times New Roman" w:hAnsi="Times New Roman" w:cs="Times New Roman"/>
    </w:rPr>
  </w:style>
  <w:style w:type="paragraph" w:customStyle="1" w:styleId="242">
    <w:name w:val="修订1"/>
    <w:hidden/>
    <w:unhideWhenUsed/>
    <w:qFormat/>
    <w:uiPriority w:val="99"/>
    <w:rPr>
      <w:rFonts w:ascii="Times New Roman" w:hAnsi="Times New Roman" w:eastAsia="宋体" w:cs="宋体"/>
      <w:spacing w:val="-6"/>
      <w:sz w:val="24"/>
      <w:szCs w:val="24"/>
      <w:lang w:val="en-US" w:eastAsia="zh-CN" w:bidi="ar-SA"/>
    </w:rPr>
  </w:style>
  <w:style w:type="paragraph" w:customStyle="1" w:styleId="243">
    <w:name w:val="_paragraph_lzhxo_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正文_0"/>
    <w:basedOn w:val="1"/>
    <w:next w:val="1"/>
    <w:qFormat/>
    <w:uiPriority w:val="0"/>
    <w:pPr>
      <w:widowControl/>
      <w:ind w:firstLine="482"/>
    </w:pPr>
    <w:rPr>
      <w:rFonts w:ascii="微软雅黑" w:hAnsi="微软雅黑" w:eastAsia="微软雅黑"/>
      <w:kern w:val="0"/>
    </w:rPr>
  </w:style>
  <w:style w:type="paragraph" w:customStyle="1" w:styleId="245">
    <w:name w:val="ÕýÎÄ"/>
    <w:qFormat/>
    <w:uiPriority w:val="0"/>
    <w:pPr>
      <w:tabs>
        <w:tab w:val="left" w:pos="630"/>
      </w:tabs>
      <w:overflowPunct w:val="0"/>
      <w:autoSpaceDE w:val="0"/>
      <w:autoSpaceDN w:val="0"/>
      <w:adjustRightInd w:val="0"/>
      <w:spacing w:line="360" w:lineRule="atLeast"/>
      <w:jc w:val="both"/>
      <w:textAlignment w:val="baseline"/>
    </w:pPr>
    <w:rPr>
      <w:rFonts w:ascii="Times New Roman" w:hAnsi="Times New Roman" w:eastAsia="宋体" w:cs="Times New Roman"/>
      <w:sz w:val="22"/>
      <w:lang w:val="en-US" w:eastAsia="zh-CN" w:bidi="ar-SA"/>
    </w:rPr>
  </w:style>
  <w:style w:type="paragraph" w:customStyle="1" w:styleId="246">
    <w:name w:val="BlockQuote"/>
    <w:qFormat/>
    <w:uiPriority w:val="0"/>
    <w:pPr>
      <w:snapToGrid w:val="0"/>
      <w:spacing w:line="408" w:lineRule="auto"/>
      <w:ind w:left="-113" w:right="-510" w:firstLine="510"/>
      <w:jc w:val="both"/>
      <w:textAlignment w:val="baseline"/>
    </w:pPr>
    <w:rPr>
      <w:rFonts w:ascii="Calibri" w:hAnsi="Calibri" w:eastAsia="宋体" w:cs="Times New Roman"/>
      <w:kern w:val="2"/>
      <w:sz w:val="24"/>
      <w:lang w:val="en-US" w:eastAsia="zh-CN" w:bidi="ar-SA"/>
    </w:rPr>
  </w:style>
  <w:style w:type="paragraph" w:customStyle="1" w:styleId="2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8">
    <w:name w:val="Table Paragraph"/>
    <w:basedOn w:val="1"/>
    <w:qFormat/>
    <w:uiPriority w:val="1"/>
    <w:pPr>
      <w:adjustRightInd w:val="0"/>
      <w:spacing w:line="360" w:lineRule="atLeast"/>
      <w:jc w:val="left"/>
      <w:textAlignment w:val="baseline"/>
    </w:pPr>
    <w:rPr>
      <w:rFonts w:ascii="宋体" w:hAnsi="宋体" w:cs="宋体"/>
      <w:kern w:val="0"/>
      <w:sz w:val="24"/>
      <w:lang w:val="zh-CN" w:bidi="zh-CN"/>
    </w:rPr>
  </w:style>
  <w:style w:type="character" w:customStyle="1" w:styleId="249">
    <w:name w:val="fontstyle01"/>
    <w:basedOn w:val="53"/>
    <w:qFormat/>
    <w:uiPriority w:val="0"/>
    <w:rPr>
      <w:rFonts w:ascii="宋体" w:hAnsi="宋体" w:eastAsia="宋体" w:cs="宋体"/>
      <w:color w:val="000000"/>
      <w:sz w:val="22"/>
      <w:szCs w:val="22"/>
    </w:rPr>
  </w:style>
  <w:style w:type="character" w:customStyle="1" w:styleId="250">
    <w:name w:val="font01"/>
    <w:basedOn w:val="53"/>
    <w:qFormat/>
    <w:uiPriority w:val="0"/>
    <w:rPr>
      <w:rFonts w:hint="eastAsia" w:ascii="宋体" w:hAnsi="宋体" w:eastAsia="宋体" w:cs="宋体"/>
      <w:color w:val="000000"/>
      <w:sz w:val="24"/>
      <w:szCs w:val="24"/>
      <w:u w:val="none"/>
    </w:rPr>
  </w:style>
  <w:style w:type="character" w:customStyle="1" w:styleId="251">
    <w:name w:val="NormalCharacter"/>
    <w:unhideWhenUsed/>
    <w:qFormat/>
    <w:uiPriority w:val="0"/>
    <w:rPr>
      <w:rFonts w:hint="default" w:ascii="Calibri" w:hAnsi="Calibri" w:eastAsia="宋体" w:cs="Times New Roman"/>
      <w:kern w:val="2"/>
      <w:sz w:val="21"/>
      <w:szCs w:val="24"/>
      <w:lang w:val="en-US" w:eastAsia="zh-CN" w:bidi="ar"/>
    </w:rPr>
  </w:style>
  <w:style w:type="paragraph" w:customStyle="1" w:styleId="252">
    <w:name w:val="列表段落1"/>
    <w:basedOn w:val="1"/>
    <w:qFormat/>
    <w:uiPriority w:val="0"/>
    <w:pPr>
      <w:spacing w:line="360" w:lineRule="auto"/>
      <w:ind w:firstLine="420"/>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15605-1265-4618-B2A2-632B0CBA8B74}">
  <ds:schemaRefs/>
</ds:datastoreItem>
</file>

<file path=docProps/app.xml><?xml version="1.0" encoding="utf-8"?>
<Properties xmlns="http://schemas.openxmlformats.org/officeDocument/2006/extended-properties" xmlns:vt="http://schemas.openxmlformats.org/officeDocument/2006/docPropsVTypes">
  <Template>Normal</Template>
  <Pages>23</Pages>
  <Words>3764</Words>
  <Characters>4057</Characters>
  <Lines>339</Lines>
  <Paragraphs>95</Paragraphs>
  <TotalTime>7</TotalTime>
  <ScaleCrop>false</ScaleCrop>
  <LinksUpToDate>false</LinksUpToDate>
  <CharactersWithSpaces>4150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2023-05-04T09:10:00Z</dcterms:created>
  <dc:creator>Administrator</dc:creator>
  <cp:lastModifiedBy>小李</cp:lastModifiedBy>
  <cp:lastPrinted>2025-12-09T02:48:00Z</cp:lastPrinted>
  <dcterms:modified xsi:type="dcterms:W3CDTF">2026-05-14T02:14:20Z</dcterms:modified>
  <dc:title>一、标书制作要求：</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eyJoZGlkIjoiYTNkNWExZmE2MzcyMDI2NjhkMzgxNTk3MTBkMDE1NzMiLCJ1c2VySWQiOiI3MjExMzM3MjcifQ==</vt:lpwstr>
  </property>
  <property fmtid="{D5CDD505-2E9C-101B-9397-08002B2CF9AE}" pid="4" name="ICV">
    <vt:lpwstr>FA861E7DEC0441E395A9AA8339CD0807_12</vt:lpwstr>
  </property>
</Properties>
</file>