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C8437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7EAE9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 w14:paraId="6D500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澄清公告</w:t>
      </w:r>
    </w:p>
    <w:p w14:paraId="77BA8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479FE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各投标人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</w:p>
    <w:p w14:paraId="01DCF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现就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万基铝业（新疆）有限公司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含铜类资产拆除工程项目招标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关事宜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作如下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澄清：</w:t>
      </w:r>
    </w:p>
    <w:p w14:paraId="2136A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 本项目最高投标限价为289万元，该价格为含9%增值税的价格（不含税最高投标限价为265.14万元）。</w:t>
      </w:r>
    </w:p>
    <w:p w14:paraId="19ACD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本项目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投标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报价评审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不含税价格作为评分依据。</w:t>
      </w:r>
    </w:p>
    <w:p w14:paraId="02A72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3.补充附件：格式八《投标人廉政承诺书》。</w:t>
      </w:r>
    </w:p>
    <w:p w14:paraId="68916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请各投标人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按照上述要求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编制投标文件。</w:t>
      </w:r>
    </w:p>
    <w:p w14:paraId="6DB99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特此澄清。</w:t>
      </w:r>
    </w:p>
    <w:p w14:paraId="4574A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520" w:firstLineChars="11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bookmarkStart w:id="0" w:name="_GoBack"/>
      <w:bookmarkEnd w:id="0"/>
    </w:p>
    <w:p w14:paraId="355BF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240" w:firstLineChars="7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万基控股集团有限公司经营管理部招标办</w:t>
      </w:r>
    </w:p>
    <w:p w14:paraId="0ECEF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11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0AAFE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BAF4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3DB3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43E3E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87C3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431F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AE63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2921271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  <w:r>
        <w:rPr>
          <w:rFonts w:hint="eastAsia" w:ascii="仿宋" w:hAnsi="仿宋" w:eastAsia="仿宋"/>
          <w:sz w:val="44"/>
          <w:szCs w:val="44"/>
        </w:rPr>
        <w:t>投标人廉政承诺书</w:t>
      </w:r>
    </w:p>
    <w:p w14:paraId="28E5920A">
      <w:pPr>
        <w:spacing w:line="54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 w14:paraId="17075238">
      <w:pPr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为加强招标投标活动中的廉政建设，防止发生违法违纪行为，体现公开、公平、公正的原则，根据国家有关法律、法规和廉政建设责任制的规定，本投标人特作出如下承诺： </w:t>
      </w:r>
    </w:p>
    <w:p w14:paraId="0619A660">
      <w:pPr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1、不与招标人、招标代理机构及其他投标人私下串通协商，进行围标、串标、抬标，控制投标价格。  </w:t>
      </w:r>
    </w:p>
    <w:p w14:paraId="699AFF5A">
      <w:pPr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2、不向招标人、招标代理机构、评标专家(小组成员)行贿，以不正当手段谋取中标。 </w:t>
      </w:r>
    </w:p>
    <w:p w14:paraId="282B4C60">
      <w:pPr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3、不向招标投标监管人员请客、送礼及组织其它有可能影响客观公正监管的活动。  </w:t>
      </w:r>
    </w:p>
    <w:p w14:paraId="3931AB7D">
      <w:pPr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4、自觉遵守开标、评标现场工作纪律，不私下接触评标专家(小组成员)，不打听内部信息、秘密，不干扰正常的开标评标秩序。  </w:t>
      </w:r>
    </w:p>
    <w:p w14:paraId="56980F19">
      <w:pPr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5、不给责任人的违法违规行为说情。 </w:t>
      </w:r>
    </w:p>
    <w:p w14:paraId="2D83F1FD">
      <w:pPr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、不发生中标后无合理缘由不签订合同的行为。</w:t>
      </w:r>
    </w:p>
    <w:p w14:paraId="104713D4">
      <w:pPr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、不发生其他违反招投标法律法规的行为。</w:t>
      </w:r>
    </w:p>
    <w:p w14:paraId="19EF251D">
      <w:pPr>
        <w:spacing w:line="46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、不发生其他不廉洁、不正当行为，包括但不限于给予招标人工作人员及近亲属、特定关系人请吃请喝、购物卡、现金、高档礼品、高档消费、违规合作经商等行为。</w:t>
      </w:r>
    </w:p>
    <w:p w14:paraId="07228405">
      <w:pPr>
        <w:spacing w:line="460" w:lineRule="exact"/>
        <w:ind w:firstLine="562" w:firstLineChars="200"/>
        <w:rPr>
          <w:rFonts w:hint="eastAsia" w:ascii="仿宋" w:hAnsi="仿宋" w:eastAsia="仿宋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/>
          <w:b/>
          <w:bCs/>
          <w:sz w:val="28"/>
          <w:szCs w:val="28"/>
          <w:u w:val="single"/>
        </w:rPr>
        <w:t>若发生上述行为，招标人有权采取以下措施追究投标人责任：包括但不限于没收全部投标保证金，要求投标人按本次招投标对应经济合同总额的20%支付违约金（如中标），并将投标人列入黑名单；如没收投标保证金、违约金不足以弥补招标人损失的，同意赔偿招标人的全部损失。</w:t>
      </w:r>
    </w:p>
    <w:p w14:paraId="55FD4A59">
      <w:pPr>
        <w:spacing w:line="420" w:lineRule="exact"/>
        <w:rPr>
          <w:rFonts w:ascii="仿宋" w:hAnsi="仿宋" w:eastAsia="仿宋"/>
          <w:sz w:val="32"/>
          <w:szCs w:val="32"/>
        </w:rPr>
      </w:pPr>
    </w:p>
    <w:p w14:paraId="46C0B3B4">
      <w:pPr>
        <w:spacing w:line="42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</w:t>
      </w:r>
      <w:r>
        <w:rPr>
          <w:rFonts w:hint="eastAsia" w:ascii="仿宋" w:hAnsi="仿宋" w:eastAsia="仿宋"/>
          <w:sz w:val="32"/>
          <w:szCs w:val="32"/>
        </w:rPr>
        <w:t>（盖单位章）</w:t>
      </w:r>
    </w:p>
    <w:p w14:paraId="001ECAE3">
      <w:pPr>
        <w:spacing w:line="420" w:lineRule="exact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投标代表人或法定代表人：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32"/>
        </w:rPr>
        <w:t>（签字或盖章）</w:t>
      </w:r>
    </w:p>
    <w:p w14:paraId="3EA89A60">
      <w:pPr>
        <w:spacing w:line="420" w:lineRule="exact"/>
        <w:ind w:firstLine="640" w:firstLineChars="200"/>
      </w:pPr>
      <w:r>
        <w:rPr>
          <w:rFonts w:hint="eastAsia" w:ascii="仿宋" w:hAnsi="仿宋" w:eastAsia="仿宋"/>
          <w:sz w:val="32"/>
          <w:szCs w:val="32"/>
        </w:rPr>
        <w:t>2026年    月    日</w:t>
      </w:r>
    </w:p>
    <w:p w14:paraId="121B2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F7D755-31E0-4EF5-893F-C01ED82C30C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0EF667E-96C7-42AF-9EB4-03090ED0F30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4494132-6A1E-4FA4-90C2-C3BD55C71C6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056D025-21D9-4F60-86D9-71D8DAFA23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11A5F"/>
    <w:rsid w:val="05E05ABA"/>
    <w:rsid w:val="0B5F1B77"/>
    <w:rsid w:val="0E43308A"/>
    <w:rsid w:val="181810E3"/>
    <w:rsid w:val="18D3325C"/>
    <w:rsid w:val="217557F8"/>
    <w:rsid w:val="22D95913"/>
    <w:rsid w:val="2D1A642A"/>
    <w:rsid w:val="3B190B4B"/>
    <w:rsid w:val="40BC169E"/>
    <w:rsid w:val="41DF5441"/>
    <w:rsid w:val="4391606A"/>
    <w:rsid w:val="449F79AA"/>
    <w:rsid w:val="45167C16"/>
    <w:rsid w:val="5012435E"/>
    <w:rsid w:val="51541BD7"/>
    <w:rsid w:val="53740BBC"/>
    <w:rsid w:val="6703473E"/>
    <w:rsid w:val="6A084950"/>
    <w:rsid w:val="71E75FB4"/>
    <w:rsid w:val="77D4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uiPriority w:val="0"/>
    <w:pPr>
      <w:jc w:val="both"/>
    </w:pPr>
    <w:rPr>
      <w:rFonts w:ascii="宋体"/>
      <w:color w:val="0000FF"/>
      <w:sz w:val="21"/>
      <w:szCs w:val="20"/>
    </w:rPr>
  </w:style>
  <w:style w:type="paragraph" w:customStyle="1" w:styleId="5">
    <w:name w:val="四级标题"/>
    <w:basedOn w:val="2"/>
    <w:uiPriority w:val="0"/>
    <w:pPr>
      <w:adjustRightInd/>
      <w:spacing w:line="360" w:lineRule="auto"/>
      <w:textAlignment w:val="auto"/>
    </w:pPr>
    <w:rPr>
      <w:rFonts w:ascii="Times New Roman" w:eastAsia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</Words>
  <Characters>182</Characters>
  <Lines>0</Lines>
  <Paragraphs>0</Paragraphs>
  <TotalTime>1</TotalTime>
  <ScaleCrop>false</ScaleCrop>
  <LinksUpToDate>false</LinksUpToDate>
  <CharactersWithSpaces>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2026-07-10T11:01:00Z</dcterms:created>
  <dc:creator>35595</dc:creator>
  <cp:lastModifiedBy>轻描淡写、</cp:lastModifiedBy>
  <dcterms:modified xsi:type="dcterms:W3CDTF">2026-07-11T04:09:27Z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eyJoZGlkIjoiMzEwNTM5NzYwMDRjMzkwZTVkZjY2ODkwMGIxNGU0OTUiLCJ1c2VySWQiOiI1MTU2NDEwMjIifQ==</vt:lpwstr>
  </property>
  <property fmtid="{D5CDD505-2E9C-101B-9397-08002B2CF9AE}" pid="4" name="ICV">
    <vt:lpwstr>20871380E34244C6A6E73228E2D733B3_12</vt:lpwstr>
  </property>
</Properties>
</file>