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万基控股集团有限公司招标办公室拟对宏远电</w:t>
      </w:r>
      <w:r>
        <w:rPr>
          <w:rFonts w:hint="eastAsia" w:ascii="仿宋" w:hAnsi="仿宋" w:eastAsia="仿宋" w:cs="Times New Roman"/>
          <w:sz w:val="28"/>
          <w:szCs w:val="28"/>
        </w:rPr>
        <w:t>力#2机组</w:t>
      </w:r>
      <w:bookmarkStart w:id="0" w:name="OLE_LINK3"/>
      <w:bookmarkStart w:id="1" w:name="OLE_LINK4"/>
      <w:r>
        <w:rPr>
          <w:rFonts w:hint="eastAsia" w:ascii="仿宋" w:hAnsi="仿宋" w:eastAsia="仿宋" w:cs="Times New Roman"/>
          <w:sz w:val="28"/>
          <w:szCs w:val="28"/>
        </w:rPr>
        <w:t>锅炉壁温系统升级</w:t>
      </w:r>
      <w:bookmarkEnd w:id="0"/>
      <w:bookmarkEnd w:id="1"/>
      <w:r>
        <w:rPr>
          <w:rFonts w:hint="eastAsia" w:ascii="仿宋" w:hAnsi="仿宋" w:eastAsia="仿宋" w:cs="Times New Roman"/>
          <w:sz w:val="28"/>
          <w:szCs w:val="28"/>
          <w:lang w:val="en-US" w:eastAsia="zh-CN"/>
        </w:rPr>
        <w:t>项目</w:t>
      </w:r>
      <w:r>
        <w:rPr>
          <w:rFonts w:hint="eastAsia" w:ascii="仿宋" w:hAnsi="仿宋" w:eastAsia="仿宋"/>
          <w:sz w:val="28"/>
          <w:szCs w:val="28"/>
        </w:rPr>
        <w:t>进行招标【招标编号：WJWZ-(2026)07011】，有意参标单位请在</w:t>
      </w:r>
      <w:r>
        <w:rPr>
          <w:rFonts w:hint="eastAsia" w:ascii="仿宋" w:hAnsi="仿宋" w:eastAsia="仿宋"/>
          <w:sz w:val="28"/>
          <w:szCs w:val="28"/>
          <w:lang w:val="en-US" w:eastAsia="zh-CN"/>
        </w:rPr>
        <w:t>7</w:t>
      </w:r>
      <w:r>
        <w:rPr>
          <w:rFonts w:hint="eastAsia" w:ascii="仿宋" w:hAnsi="仿宋" w:eastAsia="仿宋"/>
          <w:sz w:val="28"/>
          <w:szCs w:val="28"/>
        </w:rPr>
        <w:t>月</w:t>
      </w:r>
      <w:r>
        <w:rPr>
          <w:rFonts w:hint="eastAsia" w:ascii="仿宋" w:hAnsi="仿宋" w:eastAsia="仿宋"/>
          <w:sz w:val="28"/>
          <w:szCs w:val="28"/>
          <w:lang w:val="en-US" w:eastAsia="zh-CN"/>
        </w:rPr>
        <w:t>30</w:t>
      </w:r>
      <w:r>
        <w:rPr>
          <w:rFonts w:hint="eastAsia"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7</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31</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下午15:00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7</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30</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时</w:t>
      </w:r>
    </w:p>
    <w:p w14:paraId="54797916">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招标：</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r>
        <w:rPr>
          <w:rFonts w:hint="eastAsia" w:ascii="仿宋" w:hAnsi="仿宋" w:eastAsia="仿宋"/>
          <w:sz w:val="28"/>
          <w:szCs w:val="28"/>
        </w:rPr>
        <w:t>技术：</w:t>
      </w:r>
      <w:r>
        <w:rPr>
          <w:rFonts w:hint="eastAsia" w:ascii="仿宋" w:hAnsi="仿宋" w:eastAsia="仿宋" w:cs="Times New Roman"/>
          <w:sz w:val="28"/>
          <w:szCs w:val="28"/>
          <w:lang w:val="en-US" w:eastAsia="zh-CN"/>
        </w:rPr>
        <w:t xml:space="preserve">柴阿吉  136 9380 5623 </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58C94725">
      <w:pPr>
        <w:spacing w:line="4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1、招标方式：公开招标。</w:t>
      </w:r>
      <w:r>
        <w:rPr>
          <w:rFonts w:hint="eastAsia" w:ascii="仿宋" w:hAnsi="仿宋" w:eastAsia="仿宋"/>
          <w:b/>
          <w:color w:val="FF0000"/>
          <w:sz w:val="28"/>
          <w:szCs w:val="28"/>
        </w:rPr>
        <w:t>本次招标采用一次性报价、现场开标</w:t>
      </w:r>
      <w:r>
        <w:rPr>
          <w:rFonts w:hint="eastAsia" w:ascii="仿宋" w:hAnsi="仿宋" w:eastAsia="仿宋"/>
          <w:color w:val="000000"/>
          <w:sz w:val="28"/>
          <w:szCs w:val="28"/>
        </w:rPr>
        <w:t>的方式开标。参与投标，即视同完全响应招标文件</w:t>
      </w:r>
      <w:r>
        <w:rPr>
          <w:rFonts w:hint="eastAsia" w:ascii="仿宋" w:hAnsi="仿宋" w:eastAsia="仿宋"/>
          <w:color w:val="000000"/>
          <w:sz w:val="28"/>
          <w:szCs w:val="28"/>
          <w:lang w:eastAsia="zh-CN"/>
        </w:rPr>
        <w:t>。</w:t>
      </w:r>
      <w:r>
        <w:rPr>
          <w:rFonts w:hint="eastAsia" w:ascii="仿宋" w:hAnsi="仿宋" w:eastAsia="仿宋"/>
          <w:b/>
          <w:bCs/>
          <w:color w:val="FF0000"/>
          <w:sz w:val="28"/>
          <w:szCs w:val="28"/>
        </w:rPr>
        <w:t>本次参与投标的单位须在万基招采平台上注册成合格准入供应商，注册成功后方可参与投标。</w:t>
      </w:r>
      <w:r>
        <w:rPr>
          <w:rFonts w:hint="eastAsia" w:ascii="仿宋" w:hAnsi="仿宋" w:eastAsia="仿宋"/>
          <w:b w:val="0"/>
          <w:bCs w:val="0"/>
          <w:color w:val="000000" w:themeColor="text1"/>
          <w:sz w:val="28"/>
          <w:szCs w:val="28"/>
          <w14:textFill>
            <w14:solidFill>
              <w14:schemeClr w14:val="tx1"/>
            </w14:solidFill>
          </w14:textFill>
        </w:rPr>
        <w:t>供应商准入审核联系人:</w:t>
      </w:r>
      <w:r>
        <w:rPr>
          <w:rFonts w:hint="eastAsia" w:ascii="仿宋" w:hAnsi="仿宋" w:eastAsia="仿宋"/>
          <w:b w:val="0"/>
          <w:bCs w:val="0"/>
          <w:color w:val="000000" w:themeColor="text1"/>
          <w:sz w:val="28"/>
          <w:szCs w:val="28"/>
          <w:lang w:val="en-US" w:eastAsia="zh-CN"/>
          <w14:textFill>
            <w14:solidFill>
              <w14:schemeClr w14:val="tx1"/>
            </w14:solidFill>
          </w14:textFill>
        </w:rPr>
        <w:t>吕国华</w:t>
      </w:r>
      <w:r>
        <w:rPr>
          <w:rFonts w:hint="eastAsia" w:ascii="仿宋" w:hAnsi="仿宋" w:eastAsia="仿宋"/>
          <w:b w:val="0"/>
          <w:bCs w:val="0"/>
          <w:color w:val="000000" w:themeColor="text1"/>
          <w:sz w:val="28"/>
          <w:szCs w:val="28"/>
          <w14:textFill>
            <w14:solidFill>
              <w14:schemeClr w14:val="tx1"/>
            </w14:solidFill>
          </w14:textFill>
        </w:rPr>
        <w:t>，联系电话:0379-67333</w:t>
      </w:r>
      <w:r>
        <w:rPr>
          <w:rFonts w:hint="eastAsia" w:ascii="仿宋" w:hAnsi="仿宋" w:eastAsia="仿宋"/>
          <w:b w:val="0"/>
          <w:bCs w:val="0"/>
          <w:color w:val="000000" w:themeColor="text1"/>
          <w:sz w:val="28"/>
          <w:szCs w:val="28"/>
          <w:lang w:val="en-US" w:eastAsia="zh-CN"/>
          <w14:textFill>
            <w14:solidFill>
              <w14:schemeClr w14:val="tx1"/>
            </w14:solidFill>
          </w14:textFill>
        </w:rPr>
        <w:t>516</w:t>
      </w:r>
      <w:r>
        <w:rPr>
          <w:rFonts w:hint="eastAsia" w:ascii="仿宋" w:hAnsi="仿宋" w:eastAsia="仿宋"/>
          <w:b w:val="0"/>
          <w:bCs w:val="0"/>
          <w:color w:val="000000" w:themeColor="text1"/>
          <w:sz w:val="28"/>
          <w:szCs w:val="28"/>
          <w14:textFill>
            <w14:solidFill>
              <w14:schemeClr w14:val="tx1"/>
            </w14:solidFill>
          </w14:textFill>
        </w:rPr>
        <w:t>。</w:t>
      </w:r>
      <w:r>
        <w:rPr>
          <w:rFonts w:hint="eastAsia" w:ascii="仿宋" w:hAnsi="仿宋" w:eastAsia="仿宋"/>
          <w:b w:val="0"/>
          <w:bCs w:val="0"/>
          <w:color w:val="000000" w:themeColor="text1"/>
          <w:sz w:val="28"/>
          <w:szCs w:val="28"/>
          <w:lang w:val="en-US" w:eastAsia="zh-CN"/>
          <w14:textFill>
            <w14:solidFill>
              <w14:schemeClr w14:val="tx1"/>
            </w14:solidFill>
          </w14:textFill>
        </w:rPr>
        <w:t xml:space="preserve"> </w:t>
      </w:r>
    </w:p>
    <w:p w14:paraId="2E47AB15">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投标人应编制投标文件正本1份和副本</w:t>
      </w:r>
      <w:r>
        <w:rPr>
          <w:rFonts w:hint="eastAsia" w:ascii="仿宋" w:hAnsi="仿宋" w:eastAsia="仿宋"/>
          <w:sz w:val="28"/>
          <w:szCs w:val="28"/>
          <w:lang w:val="en-US" w:eastAsia="zh-CN"/>
        </w:rPr>
        <w:t>1</w:t>
      </w:r>
      <w:r>
        <w:rPr>
          <w:rFonts w:hint="eastAsia" w:ascii="仿宋" w:hAnsi="仿宋" w:eastAsia="仿宋"/>
          <w:sz w:val="28"/>
          <w:szCs w:val="28"/>
        </w:rPr>
        <w:t>份，每套投标文件须清楚地标明“正本”或“副本”。若正本和副本不符，以正本为准。详细分项报价做入标书商务卷，</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06D3BCC2">
      <w:pPr>
        <w:spacing w:line="460" w:lineRule="exact"/>
        <w:ind w:left="412" w:firstLine="14" w:firstLineChars="5"/>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1）、投标单位为中华人民共和国境内合法注册的独立法人或其他组织，具有独立承担民事责任能力，具有独立订立合同的权利，应具有设计和生产制造及调试能力，须提供有效的证明文件、具有有效的营业执照、安全生产许可证、质量管理体系认证、环境管理体系认证、职业健康安全管理体系认证。</w:t>
      </w:r>
    </w:p>
    <w:p w14:paraId="29B07805">
      <w:pPr>
        <w:spacing w:line="460" w:lineRule="exact"/>
        <w:ind w:left="412" w:firstLine="14" w:firstLineChars="5"/>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投标人须取得环保专业承包二级资质或电力或机电施工总承包二级及以上资质。没有处于被责令停产、停业或进入破产程序，生产经营不正常或不具备合同履约能力、没有处于行政主管部门或行业系统内单位相关文件确认的禁止投标的处罚期内，投标单位不得被工商行政管理机关在全国企业信用信息公示系统中列入严重违法失信企业名单(在评标期间尚未解除的)。不得在“信用中国”网站 被列入“失信被执行人名单”(在评标期间尚未解除的)。</w:t>
      </w:r>
    </w:p>
    <w:p w14:paraId="1D0BBCA3">
      <w:pPr>
        <w:spacing w:line="460" w:lineRule="exact"/>
        <w:ind w:left="412" w:firstLine="14" w:firstLineChars="5"/>
        <w:rPr>
          <w:rFonts w:hint="default" w:ascii="仿宋" w:hAnsi="仿宋" w:eastAsia="仿宋" w:cs="Times New Roman"/>
          <w:b w:val="0"/>
          <w:kern w:val="2"/>
          <w:sz w:val="28"/>
          <w:szCs w:val="28"/>
          <w:lang w:val="en-US" w:eastAsia="zh-CN" w:bidi="ar-SA"/>
        </w:rPr>
      </w:pPr>
      <w:r>
        <w:rPr>
          <w:rFonts w:hint="eastAsia" w:ascii="仿宋" w:hAnsi="仿宋" w:eastAsia="仿宋" w:cs="Times New Roman"/>
          <w:b w:val="0"/>
          <w:kern w:val="2"/>
          <w:sz w:val="28"/>
          <w:szCs w:val="28"/>
          <w:lang w:val="en-US" w:eastAsia="zh-CN" w:bidi="ar-SA"/>
        </w:rPr>
        <w:t>3）、投标单位自2021年至今至少2台以上600MW机组锅炉壁温系统升级改造工程业绩或600MW锅炉B级检修业绩，并提供相关业绩证明材料，含合同复印件(首页、能反映服务范围、签字盖章页等)、用户证明、税票等。</w:t>
      </w:r>
    </w:p>
    <w:p w14:paraId="01394198">
      <w:pPr>
        <w:widowControl/>
        <w:spacing w:line="460" w:lineRule="exact"/>
        <w:ind w:firstLine="551" w:firstLineChars="197"/>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ascii="仿宋" w:hAnsi="仿宋" w:eastAsia="仿宋"/>
          <w:spacing w:val="-20"/>
          <w:sz w:val="28"/>
          <w:szCs w:val="28"/>
        </w:rPr>
      </w:pPr>
      <w:r>
        <w:rPr>
          <w:rFonts w:ascii="仿宋" w:hAnsi="仿宋" w:eastAsia="仿宋" w:cs="仿宋_GB2312"/>
          <w:sz w:val="28"/>
          <w:szCs w:val="28"/>
        </w:rPr>
        <w:t>1</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资格预审：</w:t>
      </w:r>
      <w:r>
        <w:rPr>
          <w:rFonts w:hint="eastAsia" w:ascii="仿宋" w:hAnsi="仿宋" w:eastAsia="仿宋" w:cs="仿宋_GB2312"/>
          <w:spacing w:val="-20"/>
          <w:sz w:val="28"/>
          <w:szCs w:val="28"/>
        </w:rPr>
        <w:t>未在招标中心备案的投标人，需提供企业营业执照（年审过的有效件且必须有标的物经营</w:t>
      </w:r>
      <w:r>
        <w:rPr>
          <w:rFonts w:hint="eastAsia" w:ascii="仿宋" w:hAnsi="仿宋" w:eastAsia="仿宋"/>
          <w:spacing w:val="-20"/>
          <w:sz w:val="28"/>
          <w:szCs w:val="28"/>
        </w:rPr>
        <w:t>范围）</w:t>
      </w:r>
      <w:r>
        <w:rPr>
          <w:rFonts w:hint="eastAsia" w:ascii="仿宋" w:hAnsi="仿宋" w:eastAsia="仿宋" w:cs="仿宋"/>
          <w:spacing w:val="-20"/>
          <w:sz w:val="28"/>
          <w:szCs w:val="28"/>
        </w:rPr>
        <w:t>、相关资质许可、相关授权资料等、法人授权书、法人及投标人身份证、业绩合同等加盖公章复印件扫描件，打包发送至</w:t>
      </w:r>
      <w:r>
        <w:rPr>
          <w:rFonts w:hint="eastAsia" w:ascii="仿宋" w:hAnsi="仿宋" w:eastAsia="仿宋" w:cs="仿宋"/>
          <w:spacing w:val="-20"/>
          <w:sz w:val="28"/>
          <w:szCs w:val="28"/>
          <w:lang w:val="en-US" w:eastAsia="zh-CN"/>
        </w:rPr>
        <w:t>277838558</w:t>
      </w:r>
      <w:r>
        <w:rPr>
          <w:rFonts w:ascii="仿宋" w:hAnsi="仿宋" w:eastAsia="仿宋" w:cs="仿宋"/>
          <w:spacing w:val="-20"/>
          <w:sz w:val="28"/>
          <w:szCs w:val="28"/>
        </w:rPr>
        <w:t>@</w:t>
      </w:r>
      <w:r>
        <w:rPr>
          <w:rFonts w:hint="eastAsia" w:ascii="仿宋" w:hAnsi="仿宋" w:eastAsia="仿宋" w:cs="仿宋"/>
          <w:spacing w:val="-20"/>
          <w:sz w:val="28"/>
          <w:szCs w:val="28"/>
        </w:rPr>
        <w:t>qq</w:t>
      </w:r>
      <w:r>
        <w:rPr>
          <w:rFonts w:ascii="仿宋" w:hAnsi="仿宋" w:eastAsia="仿宋" w:cs="仿宋"/>
          <w:spacing w:val="-20"/>
          <w:sz w:val="28"/>
          <w:szCs w:val="28"/>
        </w:rPr>
        <w:t>.com</w:t>
      </w:r>
      <w:r>
        <w:rPr>
          <w:rFonts w:hint="eastAsia" w:ascii="仿宋" w:hAnsi="仿宋" w:eastAsia="仿宋" w:cs="仿宋"/>
          <w:spacing w:val="-20"/>
          <w:sz w:val="28"/>
          <w:szCs w:val="28"/>
        </w:rPr>
        <w:t>作</w:t>
      </w:r>
      <w:r>
        <w:rPr>
          <w:rFonts w:hint="eastAsia" w:ascii="仿宋" w:hAnsi="仿宋" w:eastAsia="仿宋" w:cs="仿宋"/>
          <w:sz w:val="28"/>
          <w:szCs w:val="28"/>
        </w:rPr>
        <w:t>资质预审；资质预审截止时间：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日下午</w:t>
      </w:r>
      <w:r>
        <w:rPr>
          <w:rFonts w:hint="eastAsia" w:ascii="仿宋" w:hAnsi="仿宋" w:eastAsia="仿宋" w:cs="仿宋"/>
          <w:sz w:val="28"/>
          <w:szCs w:val="28"/>
          <w:lang w:val="en-US" w:eastAsia="zh-CN"/>
        </w:rPr>
        <w:t>5</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投标保证金：各投标人在开标前须向业主单位财务缴纳投标保证金人民币</w:t>
      </w:r>
      <w:r>
        <w:rPr>
          <w:rFonts w:hint="eastAsia" w:ascii="仿宋" w:hAnsi="仿宋" w:eastAsia="仿宋" w:cs="仿宋"/>
          <w:spacing w:val="-20"/>
          <w:sz w:val="28"/>
          <w:szCs w:val="28"/>
          <w:lang w:val="en-US" w:eastAsia="zh-CN"/>
        </w:rPr>
        <w:t>贰万元整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20000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ascii="仿宋" w:hAnsi="仿宋" w:eastAsia="仿宋"/>
          <w:sz w:val="28"/>
          <w:szCs w:val="28"/>
        </w:rPr>
      </w:pPr>
      <w:r>
        <w:rPr>
          <w:rFonts w:hint="eastAsia" w:ascii="仿宋" w:hAnsi="仿宋" w:eastAsia="仿宋"/>
          <w:sz w:val="28"/>
          <w:szCs w:val="28"/>
        </w:rPr>
        <w:t>1 、投标文件的组成</w:t>
      </w:r>
    </w:p>
    <w:p w14:paraId="4AAD1D08">
      <w:pPr>
        <w:spacing w:line="460" w:lineRule="exact"/>
        <w:ind w:firstLine="560" w:firstLineChars="200"/>
        <w:rPr>
          <w:rFonts w:ascii="仿宋" w:hAnsi="仿宋" w:eastAsia="仿宋"/>
          <w:sz w:val="28"/>
          <w:szCs w:val="28"/>
        </w:rPr>
      </w:pPr>
      <w:r>
        <w:rPr>
          <w:rFonts w:hint="eastAsia" w:ascii="仿宋" w:hAnsi="仿宋" w:eastAsia="仿宋"/>
          <w:sz w:val="28"/>
          <w:szCs w:val="28"/>
        </w:rPr>
        <w:t>1.1. 投标文件由三卷组成：</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ascii="仿宋" w:hAnsi="仿宋" w:eastAsia="仿宋"/>
          <w:sz w:val="28"/>
          <w:szCs w:val="28"/>
        </w:rPr>
      </w:pPr>
      <w:r>
        <w:rPr>
          <w:rFonts w:hint="eastAsia" w:ascii="仿宋" w:hAnsi="仿宋" w:eastAsia="仿宋"/>
          <w:sz w:val="28"/>
          <w:szCs w:val="28"/>
        </w:rPr>
        <w:t>VI. 其它文件和资料。</w:t>
      </w:r>
    </w:p>
    <w:p w14:paraId="6EBFBF42">
      <w:pPr>
        <w:spacing w:line="460" w:lineRule="exact"/>
        <w:ind w:firstLine="560" w:firstLineChars="200"/>
        <w:rPr>
          <w:rFonts w:ascii="仿宋" w:hAnsi="仿宋" w:eastAsia="仿宋"/>
          <w:sz w:val="28"/>
          <w:szCs w:val="28"/>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eastAsia="zh-CN"/>
        </w:rPr>
        <w:t>、</w:t>
      </w:r>
      <w:r>
        <w:rPr>
          <w:rFonts w:hint="eastAsia" w:ascii="仿宋" w:hAnsi="仿宋" w:eastAsia="仿宋"/>
          <w:sz w:val="28"/>
          <w:szCs w:val="28"/>
        </w:rPr>
        <w:t>商务、技术异议回复（详见附件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7</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31</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7</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31</w:t>
      </w:r>
      <w:r>
        <w:rPr>
          <w:rFonts w:hint="eastAsia" w:ascii="仿宋" w:hAnsi="仿宋" w:eastAsia="仿宋"/>
          <w:b/>
          <w:color w:val="FF0000"/>
          <w:sz w:val="28"/>
          <w:szCs w:val="28"/>
        </w:rPr>
        <w:t>日</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ascii="仿宋" w:hAnsi="仿宋" w:eastAsia="仿宋"/>
          <w:sz w:val="28"/>
          <w:szCs w:val="28"/>
        </w:rPr>
      </w:pPr>
      <w:r>
        <w:rPr>
          <w:rFonts w:hint="eastAsia" w:ascii="仿宋" w:hAnsi="仿宋" w:eastAsia="仿宋"/>
          <w:sz w:val="28"/>
          <w:szCs w:val="28"/>
        </w:rPr>
        <w:t>5.1   商务评标过程中，有下列情形之一者，应予废标：</w:t>
      </w:r>
    </w:p>
    <w:p w14:paraId="03D1D744">
      <w:pPr>
        <w:spacing w:line="460" w:lineRule="exact"/>
        <w:ind w:firstLine="560" w:firstLineChars="200"/>
        <w:rPr>
          <w:rFonts w:ascii="仿宋" w:hAnsi="仿宋" w:eastAsia="仿宋"/>
          <w:sz w:val="28"/>
          <w:szCs w:val="28"/>
        </w:rPr>
      </w:pPr>
      <w:r>
        <w:rPr>
          <w:rFonts w:hint="eastAsia" w:ascii="仿宋" w:hAnsi="仿宋" w:eastAsia="仿宋"/>
          <w:sz w:val="28"/>
          <w:szCs w:val="28"/>
        </w:rPr>
        <w:t>5.1.1  投标人及其制造商与招标人、招标机构有利害关系的。</w:t>
      </w:r>
    </w:p>
    <w:p w14:paraId="243C0806">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2E0C8A20">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321BAD17">
      <w:pPr>
        <w:spacing w:line="460" w:lineRule="exact"/>
        <w:ind w:firstLine="560" w:firstLineChars="200"/>
        <w:rPr>
          <w:rFonts w:ascii="仿宋" w:hAnsi="仿宋" w:eastAsia="仿宋"/>
          <w:sz w:val="28"/>
          <w:szCs w:val="28"/>
        </w:rPr>
      </w:pPr>
      <w:r>
        <w:rPr>
          <w:rFonts w:hint="eastAsia" w:ascii="仿宋" w:hAnsi="仿宋" w:eastAsia="仿宋"/>
          <w:sz w:val="28"/>
          <w:szCs w:val="28"/>
        </w:rPr>
        <w:t>5.1.4  投标人业绩不能满足招标文件的要求。</w:t>
      </w:r>
    </w:p>
    <w:p w14:paraId="6ACC1F6C">
      <w:pPr>
        <w:spacing w:line="460" w:lineRule="exact"/>
        <w:ind w:firstLine="560" w:firstLineChars="200"/>
        <w:rPr>
          <w:rFonts w:ascii="仿宋" w:hAnsi="仿宋" w:eastAsia="仿宋"/>
          <w:sz w:val="28"/>
          <w:szCs w:val="28"/>
        </w:rPr>
      </w:pPr>
      <w:r>
        <w:rPr>
          <w:rFonts w:hint="eastAsia" w:ascii="仿宋" w:hAnsi="仿宋" w:eastAsia="仿宋"/>
          <w:sz w:val="28"/>
          <w:szCs w:val="28"/>
        </w:rPr>
        <w:t>5.1.5  投标文件符合招标文件中规定废标的其他商务条款。</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B7DC5D5">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31B6CFF">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245B357A">
      <w:pPr>
        <w:spacing w:line="460" w:lineRule="exact"/>
        <w:ind w:firstLine="708" w:firstLineChars="253"/>
        <w:rPr>
          <w:rFonts w:ascii="仿宋" w:hAnsi="仿宋" w:eastAsia="仿宋"/>
          <w:sz w:val="28"/>
          <w:szCs w:val="28"/>
        </w:rPr>
      </w:pPr>
      <w:r>
        <w:rPr>
          <w:rFonts w:hint="eastAsia" w:ascii="仿宋" w:hAnsi="仿宋" w:eastAsia="仿宋"/>
          <w:sz w:val="28"/>
          <w:szCs w:val="28"/>
        </w:rPr>
        <w:t>5.2.4  投标文件的澄清</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739E98DD">
      <w:pPr>
        <w:spacing w:line="460" w:lineRule="exact"/>
        <w:ind w:firstLine="560" w:firstLineChars="200"/>
        <w:rPr>
          <w:rFonts w:hint="eastAsia" w:ascii="仿宋" w:hAnsi="仿宋" w:eastAsia="仿宋"/>
          <w:sz w:val="28"/>
          <w:szCs w:val="28"/>
        </w:rPr>
      </w:pPr>
    </w:p>
    <w:p w14:paraId="64548814">
      <w:pPr>
        <w:spacing w:line="460" w:lineRule="exact"/>
        <w:ind w:firstLine="560" w:firstLineChars="200"/>
        <w:rPr>
          <w:rFonts w:hint="eastAsia" w:ascii="仿宋" w:hAnsi="仿宋" w:eastAsia="仿宋"/>
          <w:sz w:val="28"/>
          <w:szCs w:val="28"/>
        </w:rPr>
      </w:pPr>
    </w:p>
    <w:p w14:paraId="3FEB684E">
      <w:pPr>
        <w:spacing w:line="460" w:lineRule="exact"/>
        <w:ind w:firstLine="560" w:firstLineChars="200"/>
        <w:rPr>
          <w:rFonts w:hint="eastAsia" w:ascii="仿宋" w:hAnsi="仿宋" w:eastAsia="仿宋"/>
          <w:sz w:val="28"/>
          <w:szCs w:val="28"/>
        </w:rPr>
      </w:pPr>
    </w:p>
    <w:p w14:paraId="02EB4109">
      <w:pPr>
        <w:spacing w:line="460" w:lineRule="exact"/>
        <w:ind w:firstLine="560" w:firstLineChars="200"/>
        <w:rPr>
          <w:rFonts w:ascii="仿宋" w:hAnsi="仿宋" w:eastAsia="仿宋"/>
          <w:sz w:val="28"/>
          <w:szCs w:val="28"/>
        </w:rPr>
      </w:pPr>
      <w:r>
        <w:rPr>
          <w:rFonts w:hint="eastAsia" w:ascii="仿宋" w:hAnsi="仿宋" w:eastAsia="仿宋"/>
          <w:sz w:val="28"/>
          <w:szCs w:val="28"/>
        </w:rPr>
        <w:t>5、商务部分评分表（</w:t>
      </w:r>
      <w:r>
        <w:rPr>
          <w:rFonts w:ascii="仿宋" w:hAnsi="仿宋" w:eastAsia="仿宋"/>
          <w:sz w:val="28"/>
          <w:szCs w:val="28"/>
        </w:rPr>
        <w:t>1</w:t>
      </w:r>
      <w:r>
        <w:rPr>
          <w:rFonts w:hint="eastAsia" w:ascii="仿宋" w:hAnsi="仿宋" w:eastAsia="仿宋"/>
          <w:sz w:val="28"/>
          <w:szCs w:val="28"/>
        </w:rPr>
        <w:t>0分）</w:t>
      </w:r>
    </w:p>
    <w:p w14:paraId="162AB1C4">
      <w:pPr>
        <w:spacing w:line="160" w:lineRule="exact"/>
        <w:ind w:firstLine="560" w:firstLineChars="200"/>
        <w:rPr>
          <w:rFonts w:ascii="仿宋" w:hAnsi="仿宋" w:eastAsia="仿宋"/>
          <w:sz w:val="28"/>
          <w:szCs w:val="28"/>
        </w:rPr>
      </w:pPr>
    </w:p>
    <w:tbl>
      <w:tblPr>
        <w:tblStyle w:val="5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ascii="仿宋" w:hAnsi="仿宋" w:eastAsia="仿宋"/>
                <w:sz w:val="18"/>
                <w:szCs w:val="18"/>
              </w:rPr>
              <w:t>2</w:t>
            </w:r>
            <w:r>
              <w:rPr>
                <w:rFonts w:hint="eastAsia" w:ascii="仿宋" w:hAnsi="仿宋" w:eastAsia="仿宋"/>
                <w:sz w:val="18"/>
                <w:szCs w:val="18"/>
              </w:rPr>
              <w:t>年度、202</w:t>
            </w:r>
            <w:r>
              <w:rPr>
                <w:rFonts w:ascii="仿宋" w:hAnsi="仿宋" w:eastAsia="仿宋"/>
                <w:sz w:val="18"/>
                <w:szCs w:val="18"/>
              </w:rPr>
              <w:t>3</w:t>
            </w:r>
            <w:r>
              <w:rPr>
                <w:rFonts w:hint="eastAsia" w:ascii="仿宋" w:hAnsi="仿宋" w:eastAsia="仿宋"/>
                <w:sz w:val="18"/>
                <w:szCs w:val="18"/>
              </w:rPr>
              <w:t>年度、202</w:t>
            </w:r>
            <w:r>
              <w:rPr>
                <w:rFonts w:ascii="仿宋" w:hAnsi="仿宋" w:eastAsia="仿宋"/>
                <w:sz w:val="18"/>
                <w:szCs w:val="18"/>
              </w:rPr>
              <w:t>4</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2</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4"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5"/>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740A6E01">
      <w:pPr>
        <w:spacing w:line="240" w:lineRule="exact"/>
        <w:ind w:firstLine="560" w:firstLineChars="200"/>
        <w:rPr>
          <w:rFonts w:ascii="仿宋" w:hAnsi="仿宋" w:eastAsia="仿宋"/>
          <w:sz w:val="28"/>
          <w:szCs w:val="28"/>
        </w:rPr>
      </w:pPr>
    </w:p>
    <w:p w14:paraId="1490028A">
      <w:pPr>
        <w:spacing w:line="460" w:lineRule="exact"/>
        <w:ind w:firstLine="560" w:firstLineChars="200"/>
        <w:rPr>
          <w:rFonts w:hint="eastAsia" w:ascii="仿宋" w:hAnsi="仿宋" w:eastAsia="仿宋"/>
          <w:sz w:val="28"/>
          <w:szCs w:val="28"/>
        </w:rPr>
      </w:pPr>
    </w:p>
    <w:p w14:paraId="30B06887">
      <w:pPr>
        <w:spacing w:line="460" w:lineRule="exact"/>
        <w:ind w:firstLine="560" w:firstLineChars="200"/>
        <w:rPr>
          <w:rFonts w:hint="eastAsia" w:ascii="仿宋" w:hAnsi="仿宋" w:eastAsia="仿宋"/>
          <w:sz w:val="28"/>
          <w:szCs w:val="28"/>
        </w:rPr>
      </w:pPr>
    </w:p>
    <w:p w14:paraId="4094093F">
      <w:pPr>
        <w:spacing w:line="460" w:lineRule="exact"/>
        <w:ind w:firstLine="560" w:firstLineChars="200"/>
        <w:rPr>
          <w:rFonts w:hint="eastAsia" w:ascii="仿宋" w:hAnsi="仿宋" w:eastAsia="仿宋"/>
          <w:sz w:val="28"/>
          <w:szCs w:val="28"/>
        </w:rPr>
      </w:pPr>
    </w:p>
    <w:p w14:paraId="27CAD756">
      <w:pPr>
        <w:spacing w:line="460" w:lineRule="exact"/>
        <w:ind w:firstLine="560" w:firstLineChars="200"/>
        <w:rPr>
          <w:rFonts w:hint="eastAsia" w:ascii="仿宋" w:hAnsi="仿宋" w:eastAsia="仿宋"/>
          <w:sz w:val="28"/>
          <w:szCs w:val="28"/>
        </w:rPr>
      </w:pPr>
    </w:p>
    <w:p w14:paraId="37250E68">
      <w:pPr>
        <w:spacing w:line="460" w:lineRule="exact"/>
        <w:ind w:firstLine="560" w:firstLineChars="200"/>
        <w:rPr>
          <w:rFonts w:hint="eastAsia" w:ascii="仿宋" w:hAnsi="仿宋" w:eastAsia="仿宋"/>
          <w:sz w:val="28"/>
          <w:szCs w:val="28"/>
        </w:rPr>
      </w:pPr>
    </w:p>
    <w:p w14:paraId="531C783B">
      <w:pPr>
        <w:spacing w:line="460" w:lineRule="exact"/>
        <w:ind w:firstLine="560" w:firstLineChars="200"/>
        <w:rPr>
          <w:rFonts w:hint="eastAsia" w:ascii="仿宋" w:hAnsi="仿宋" w:eastAsia="仿宋"/>
          <w:sz w:val="28"/>
          <w:szCs w:val="28"/>
        </w:rPr>
      </w:pPr>
    </w:p>
    <w:p w14:paraId="31A5D317">
      <w:pPr>
        <w:spacing w:line="460" w:lineRule="exact"/>
        <w:rPr>
          <w:rFonts w:hint="eastAsia" w:ascii="仿宋" w:hAnsi="仿宋" w:eastAsia="仿宋"/>
          <w:sz w:val="28"/>
          <w:szCs w:val="28"/>
        </w:rPr>
      </w:pPr>
    </w:p>
    <w:p w14:paraId="1E28780F">
      <w:pPr>
        <w:spacing w:line="460" w:lineRule="exact"/>
        <w:ind w:firstLine="560" w:firstLineChars="200"/>
        <w:rPr>
          <w:rFonts w:hint="eastAsia" w:ascii="仿宋" w:hAnsi="仿宋" w:eastAsia="仿宋"/>
          <w:sz w:val="28"/>
          <w:szCs w:val="28"/>
        </w:rPr>
      </w:pPr>
    </w:p>
    <w:p w14:paraId="4F2B0916">
      <w:pPr>
        <w:spacing w:line="460" w:lineRule="exact"/>
        <w:ind w:firstLine="560" w:firstLineChars="200"/>
        <w:rPr>
          <w:rFonts w:ascii="仿宋" w:hAnsi="仿宋" w:eastAsia="仿宋"/>
          <w:sz w:val="28"/>
          <w:szCs w:val="28"/>
        </w:rPr>
      </w:pPr>
      <w:r>
        <w:rPr>
          <w:rFonts w:hint="eastAsia" w:ascii="仿宋" w:hAnsi="仿宋" w:eastAsia="仿宋"/>
          <w:sz w:val="28"/>
          <w:szCs w:val="28"/>
        </w:rPr>
        <w:t>6、技术评分表</w:t>
      </w:r>
    </w:p>
    <w:p w14:paraId="41086596">
      <w:pPr>
        <w:spacing w:line="460" w:lineRule="exact"/>
        <w:ind w:firstLine="3373" w:firstLineChars="16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7A2E081A">
      <w:pPr>
        <w:spacing w:line="160" w:lineRule="exact"/>
        <w:ind w:firstLine="2741" w:firstLineChars="1300"/>
        <w:rPr>
          <w:rFonts w:ascii="宋体" w:hAnsi="宋体"/>
          <w:b/>
          <w:szCs w:val="21"/>
        </w:rPr>
      </w:pPr>
    </w:p>
    <w:tbl>
      <w:tblPr>
        <w:tblStyle w:val="58"/>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14B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52F9BAC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17ECBA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085735A3">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394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421" w:type="dxa"/>
            <w:vAlign w:val="center"/>
          </w:tcPr>
          <w:p w14:paraId="74BB4C6F">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50703AA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C86198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F8DAD6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385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7" w:hRule="atLeast"/>
          <w:jc w:val="center"/>
        </w:trPr>
        <w:tc>
          <w:tcPr>
            <w:tcW w:w="421" w:type="dxa"/>
            <w:vAlign w:val="center"/>
          </w:tcPr>
          <w:p w14:paraId="5C25FCAB">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385B100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1881AEB6">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4218465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根据设备设计、设备参数及技术力量：1-3分</w:t>
            </w:r>
          </w:p>
        </w:tc>
      </w:tr>
      <w:tr w14:paraId="4977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421" w:type="dxa"/>
            <w:vAlign w:val="center"/>
          </w:tcPr>
          <w:p w14:paraId="03FAE1FC">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4ABC273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2F3911F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B731848">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操作简便、直观：1-</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w:t>
            </w:r>
          </w:p>
        </w:tc>
      </w:tr>
      <w:tr w14:paraId="47C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421" w:type="dxa"/>
            <w:vAlign w:val="center"/>
          </w:tcPr>
          <w:p w14:paraId="03395581">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4991D58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7ABAA26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64F5E10C">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对工艺、技术、配置、性能等的可行性、先进性、专利等综合评价：1-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2D0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6" w:hRule="atLeast"/>
          <w:jc w:val="center"/>
        </w:trPr>
        <w:tc>
          <w:tcPr>
            <w:tcW w:w="421" w:type="dxa"/>
            <w:vAlign w:val="center"/>
          </w:tcPr>
          <w:p w14:paraId="4C48B2B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1BFE0D8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7C589F3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z w:val="18"/>
                <w:szCs w:val="18"/>
                <w:lang w:val="en-US" w:eastAsia="zh-CN"/>
              </w:rPr>
              <w:t>5</w:t>
            </w:r>
          </w:p>
        </w:tc>
        <w:tc>
          <w:tcPr>
            <w:tcW w:w="6311" w:type="dxa"/>
            <w:vAlign w:val="center"/>
          </w:tcPr>
          <w:p w14:paraId="72046101">
            <w:pPr>
              <w:rPr>
                <w:rFonts w:ascii="仿宋" w:hAnsi="仿宋" w:eastAsia="仿宋" w:cs="仿宋"/>
                <w:snapToGrid w:val="0"/>
                <w:kern w:val="0"/>
                <w:sz w:val="18"/>
                <w:szCs w:val="18"/>
              </w:rPr>
            </w:pPr>
            <w:r>
              <w:rPr>
                <w:rFonts w:hint="eastAsia" w:ascii="仿宋" w:hAnsi="仿宋" w:eastAsia="仿宋"/>
                <w:sz w:val="18"/>
                <w:szCs w:val="18"/>
              </w:rPr>
              <w:t>近</w:t>
            </w:r>
            <w:r>
              <w:rPr>
                <w:rFonts w:hint="eastAsia" w:ascii="仿宋" w:hAnsi="仿宋" w:eastAsia="仿宋"/>
                <w:sz w:val="18"/>
                <w:szCs w:val="18"/>
                <w:lang w:val="en-US" w:eastAsia="zh-CN"/>
              </w:rPr>
              <w:t>五</w:t>
            </w:r>
            <w:r>
              <w:rPr>
                <w:rFonts w:hint="eastAsia" w:ascii="仿宋" w:hAnsi="仿宋" w:eastAsia="仿宋"/>
                <w:sz w:val="18"/>
                <w:szCs w:val="18"/>
              </w:rPr>
              <w:t>年</w:t>
            </w:r>
            <w:r>
              <w:rPr>
                <w:rFonts w:hint="eastAsia" w:ascii="仿宋" w:hAnsi="仿宋" w:eastAsia="仿宋" w:cs="Times New Roman"/>
                <w:sz w:val="18"/>
                <w:szCs w:val="18"/>
              </w:rPr>
              <w:t>至少2台以上600MW机组锅炉壁温系统升级改造工程业绩</w:t>
            </w:r>
            <w:r>
              <w:rPr>
                <w:rFonts w:hint="eastAsia" w:ascii="仿宋" w:hAnsi="仿宋" w:eastAsia="仿宋" w:cs="Times New Roman"/>
                <w:sz w:val="18"/>
                <w:szCs w:val="18"/>
                <w:lang w:val="en-US" w:eastAsia="zh-CN"/>
              </w:rPr>
              <w:t>或600MW锅炉B级检修业绩</w:t>
            </w:r>
            <w:r>
              <w:rPr>
                <w:rFonts w:hint="eastAsia" w:ascii="仿宋" w:hAnsi="仿宋" w:eastAsia="仿宋" w:cs="Times New Roman"/>
                <w:sz w:val="18"/>
                <w:szCs w:val="18"/>
              </w:rPr>
              <w:t>，</w:t>
            </w:r>
            <w:r>
              <w:rPr>
                <w:rFonts w:hint="eastAsia" w:ascii="仿宋" w:hAnsi="仿宋" w:eastAsia="仿宋" w:cs="Times New Roman"/>
                <w:sz w:val="18"/>
                <w:szCs w:val="18"/>
                <w:lang w:val="en-US" w:eastAsia="zh-CN"/>
              </w:rPr>
              <w:t>2</w:t>
            </w:r>
            <w:r>
              <w:rPr>
                <w:rFonts w:hint="eastAsia" w:ascii="仿宋" w:hAnsi="仿宋" w:eastAsia="仿宋"/>
                <w:sz w:val="18"/>
                <w:szCs w:val="18"/>
                <w:lang w:val="en-US" w:eastAsia="zh-CN"/>
              </w:rPr>
              <w:t>份</w:t>
            </w:r>
            <w:r>
              <w:rPr>
                <w:rFonts w:hint="eastAsia" w:ascii="仿宋" w:hAnsi="仿宋" w:eastAsia="仿宋"/>
                <w:sz w:val="18"/>
                <w:szCs w:val="18"/>
              </w:rPr>
              <w:t>得0分，每增加1个得1分，最高得</w:t>
            </w:r>
            <w:r>
              <w:rPr>
                <w:rFonts w:hint="eastAsia" w:ascii="仿宋" w:hAnsi="仿宋" w:eastAsia="仿宋"/>
                <w:sz w:val="18"/>
                <w:szCs w:val="18"/>
                <w:lang w:val="en-US" w:eastAsia="zh-CN"/>
              </w:rPr>
              <w:t>5</w:t>
            </w:r>
            <w:r>
              <w:rPr>
                <w:rFonts w:hint="eastAsia" w:ascii="仿宋" w:hAnsi="仿宋" w:eastAsia="仿宋"/>
                <w:sz w:val="18"/>
                <w:szCs w:val="18"/>
              </w:rPr>
              <w:t>分。</w:t>
            </w:r>
          </w:p>
        </w:tc>
      </w:tr>
      <w:tr w14:paraId="1EC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9" w:hRule="atLeast"/>
          <w:jc w:val="center"/>
        </w:trPr>
        <w:tc>
          <w:tcPr>
            <w:tcW w:w="421" w:type="dxa"/>
            <w:vAlign w:val="center"/>
          </w:tcPr>
          <w:p w14:paraId="7F5EA8AA">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6D798614">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6A19A513">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74DEB4D2">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完善2分；基本完善1分；不完善0分</w:t>
            </w:r>
          </w:p>
        </w:tc>
      </w:tr>
      <w:tr w14:paraId="200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5" w:hRule="atLeast"/>
          <w:jc w:val="center"/>
        </w:trPr>
        <w:tc>
          <w:tcPr>
            <w:tcW w:w="421" w:type="dxa"/>
            <w:vAlign w:val="center"/>
          </w:tcPr>
          <w:p w14:paraId="0EFEB247">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5C0A0C48">
            <w:pPr>
              <w:snapToGrid w:val="0"/>
              <w:spacing w:line="240" w:lineRule="exact"/>
              <w:jc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088612BB">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1A894AF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0AB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3" w:hRule="atLeast"/>
          <w:jc w:val="center"/>
        </w:trPr>
        <w:tc>
          <w:tcPr>
            <w:tcW w:w="421" w:type="dxa"/>
            <w:vAlign w:val="center"/>
          </w:tcPr>
          <w:p w14:paraId="5C7DC645">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602C392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1B988EB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46A6DEC3">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6D8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5AF55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32666B0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E2542F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1686B987">
            <w:pPr>
              <w:snapToGrid w:val="0"/>
              <w:spacing w:line="240" w:lineRule="exact"/>
              <w:jc w:val="left"/>
              <w:rPr>
                <w:rFonts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49882192">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w:t>
            </w:r>
            <w:r>
              <w:rPr>
                <w:rFonts w:hint="eastAsia" w:ascii="仿宋" w:hAnsi="仿宋" w:eastAsia="仿宋"/>
                <w:color w:val="auto"/>
                <w:sz w:val="18"/>
                <w:szCs w:val="18"/>
                <w:lang w:val="en-US" w:eastAsia="zh-CN"/>
              </w:rPr>
              <w:t>3</w:t>
            </w:r>
            <w:r>
              <w:rPr>
                <w:rFonts w:hint="eastAsia" w:ascii="仿宋" w:hAnsi="仿宋" w:eastAsia="仿宋"/>
                <w:color w:val="auto"/>
                <w:sz w:val="18"/>
                <w:szCs w:val="18"/>
              </w:rPr>
              <w:t>分；</w:t>
            </w:r>
          </w:p>
          <w:p w14:paraId="067CBA5B">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分；</w:t>
            </w:r>
          </w:p>
          <w:p w14:paraId="7A05E024">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w:t>
            </w:r>
            <w:r>
              <w:rPr>
                <w:rFonts w:hint="eastAsia" w:ascii="仿宋" w:hAnsi="仿宋" w:eastAsia="仿宋"/>
                <w:color w:val="auto"/>
                <w:sz w:val="18"/>
                <w:szCs w:val="18"/>
                <w:lang w:val="en-US" w:eastAsia="zh-CN"/>
              </w:rPr>
              <w:t>0</w:t>
            </w:r>
            <w:r>
              <w:rPr>
                <w:rFonts w:hint="eastAsia" w:ascii="仿宋" w:hAnsi="仿宋" w:eastAsia="仿宋"/>
                <w:color w:val="auto"/>
                <w:sz w:val="18"/>
                <w:szCs w:val="18"/>
              </w:rPr>
              <w:t>-</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分；</w:t>
            </w:r>
          </w:p>
          <w:p w14:paraId="4E74AFE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sz w:val="18"/>
                <w:szCs w:val="18"/>
              </w:rPr>
              <w:t>没有不得分。</w:t>
            </w:r>
          </w:p>
        </w:tc>
      </w:tr>
      <w:tr w14:paraId="137E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44" w:hRule="atLeast"/>
          <w:jc w:val="center"/>
        </w:trPr>
        <w:tc>
          <w:tcPr>
            <w:tcW w:w="421" w:type="dxa"/>
            <w:vAlign w:val="center"/>
          </w:tcPr>
          <w:p w14:paraId="7983774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4384E02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5B97F289">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6F405EB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标方每采纳1条得</w:t>
            </w:r>
            <w:r>
              <w:rPr>
                <w:rFonts w:hint="eastAsia" w:ascii="仿宋" w:hAnsi="仿宋" w:eastAsia="仿宋" w:cs="仿宋"/>
                <w:snapToGrid w:val="0"/>
                <w:kern w:val="0"/>
                <w:sz w:val="18"/>
                <w:szCs w:val="18"/>
                <w:lang w:val="en-US" w:eastAsia="zh-CN"/>
              </w:rPr>
              <w:t>0.5</w:t>
            </w:r>
            <w:r>
              <w:rPr>
                <w:rFonts w:hint="eastAsia" w:ascii="仿宋" w:hAnsi="仿宋" w:eastAsia="仿宋" w:cs="仿宋"/>
                <w:snapToGrid w:val="0"/>
                <w:kern w:val="0"/>
                <w:sz w:val="18"/>
                <w:szCs w:val="18"/>
              </w:rPr>
              <w:t>分，最高</w:t>
            </w:r>
            <w:r>
              <w:rPr>
                <w:rFonts w:hint="eastAsia" w:ascii="仿宋" w:hAnsi="仿宋" w:eastAsia="仿宋" w:cs="仿宋"/>
                <w:snapToGrid w:val="0"/>
                <w:kern w:val="0"/>
                <w:sz w:val="18"/>
                <w:szCs w:val="18"/>
                <w:lang w:val="en-US" w:eastAsia="zh-CN"/>
              </w:rPr>
              <w:t>1</w:t>
            </w:r>
            <w:r>
              <w:rPr>
                <w:rFonts w:hint="eastAsia" w:ascii="仿宋" w:hAnsi="仿宋" w:eastAsia="仿宋" w:cs="仿宋"/>
                <w:snapToGrid w:val="0"/>
                <w:kern w:val="0"/>
                <w:sz w:val="18"/>
                <w:szCs w:val="18"/>
              </w:rPr>
              <w:t>分；</w:t>
            </w:r>
          </w:p>
        </w:tc>
      </w:tr>
      <w:tr w14:paraId="7EE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7" w:hRule="atLeast"/>
          <w:jc w:val="center"/>
        </w:trPr>
        <w:tc>
          <w:tcPr>
            <w:tcW w:w="421" w:type="dxa"/>
            <w:vAlign w:val="center"/>
          </w:tcPr>
          <w:p w14:paraId="74A9908D">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281B593A">
            <w:pPr>
              <w:snapToGrid w:val="0"/>
              <w:spacing w:line="240" w:lineRule="exact"/>
              <w:jc w:val="center"/>
              <w:rPr>
                <w:rFonts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3C3ABE0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49979C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2B11ECD0">
      <w:pPr>
        <w:spacing w:line="460" w:lineRule="exact"/>
        <w:rPr>
          <w:rFonts w:hint="eastAsia" w:ascii="仿宋" w:hAnsi="仿宋" w:eastAsia="仿宋"/>
          <w:sz w:val="28"/>
          <w:szCs w:val="28"/>
        </w:rPr>
      </w:pPr>
      <w:r>
        <w:rPr>
          <w:rFonts w:hint="eastAsia" w:ascii="仿宋" w:hAnsi="仿宋" w:eastAsia="仿宋"/>
          <w:sz w:val="28"/>
          <w:szCs w:val="28"/>
        </w:rPr>
        <w:t xml:space="preserve"> </w:t>
      </w:r>
    </w:p>
    <w:p w14:paraId="62CA68E0">
      <w:pPr>
        <w:spacing w:line="460" w:lineRule="exact"/>
        <w:rPr>
          <w:rFonts w:hint="eastAsia" w:ascii="仿宋" w:hAnsi="仿宋" w:eastAsia="仿宋"/>
          <w:sz w:val="28"/>
          <w:szCs w:val="28"/>
        </w:rPr>
      </w:pPr>
    </w:p>
    <w:p w14:paraId="5CD7B1C6">
      <w:pPr>
        <w:spacing w:line="460" w:lineRule="exact"/>
        <w:rPr>
          <w:rFonts w:hint="eastAsia" w:ascii="仿宋" w:hAnsi="仿宋" w:eastAsia="仿宋"/>
          <w:sz w:val="28"/>
          <w:szCs w:val="28"/>
        </w:rPr>
      </w:pPr>
    </w:p>
    <w:p w14:paraId="67DF5468">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四、授予合同</w:t>
      </w:r>
      <w:r>
        <w:rPr>
          <w:rFonts w:hint="eastAsia" w:ascii="仿宋" w:hAnsi="仿宋" w:eastAsia="仿宋"/>
          <w:b/>
          <w:bCs/>
          <w:sz w:val="28"/>
          <w:szCs w:val="28"/>
          <w:lang w:eastAsia="zh-CN"/>
        </w:rPr>
        <w:t>：</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w:t>
      </w:r>
      <w:r>
        <w:rPr>
          <w:rFonts w:hint="eastAsia" w:ascii="仿宋" w:hAnsi="仿宋" w:eastAsia="仿宋"/>
          <w:sz w:val="28"/>
          <w:szCs w:val="28"/>
          <w:lang w:val="en-US" w:eastAsia="zh-CN"/>
        </w:rPr>
        <w:t xml:space="preserve">  </w:t>
      </w:r>
      <w:r>
        <w:rPr>
          <w:rFonts w:hint="eastAsia" w:ascii="仿宋" w:hAnsi="仿宋" w:eastAsia="仿宋"/>
          <w:sz w:val="28"/>
          <w:szCs w:val="28"/>
        </w:rPr>
        <w:t>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4E46BD98">
      <w:pPr>
        <w:spacing w:line="460" w:lineRule="exact"/>
        <w:ind w:firstLine="560" w:firstLineChars="200"/>
        <w:rPr>
          <w:rFonts w:hint="eastAsia" w:ascii="仿宋" w:hAnsi="仿宋" w:eastAsia="仿宋"/>
          <w:b/>
          <w:bCs/>
          <w:sz w:val="28"/>
          <w:szCs w:val="28"/>
        </w:rPr>
      </w:pPr>
      <w:r>
        <w:rPr>
          <w:rFonts w:hint="eastAsia" w:ascii="仿宋" w:hAnsi="仿宋" w:eastAsia="仿宋"/>
          <w:sz w:val="28"/>
          <w:szCs w:val="28"/>
        </w:rPr>
        <w:t>一切与投标有关的费用均由投标人自理。</w:t>
      </w:r>
    </w:p>
    <w:p w14:paraId="23F7899D">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六、投标人资格审查文件</w:t>
      </w:r>
      <w:r>
        <w:rPr>
          <w:rFonts w:hint="eastAsia" w:ascii="仿宋" w:hAnsi="仿宋" w:eastAsia="仿宋"/>
          <w:b/>
          <w:bCs/>
          <w:sz w:val="28"/>
          <w:szCs w:val="28"/>
          <w:lang w:eastAsia="zh-CN"/>
        </w:rPr>
        <w:t>：</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3）安全生产许可证、有关鉴定材料、相关资质许可证；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投标保证金（人民币：贰万元整     </w:t>
      </w:r>
      <w:r>
        <w:rPr>
          <w:rFonts w:hint="eastAsia" w:ascii="仿宋" w:hAnsi="仿宋" w:eastAsia="仿宋" w:cs="仿宋"/>
          <w:sz w:val="28"/>
          <w:szCs w:val="28"/>
        </w:rPr>
        <w:t>￥200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7</w:t>
      </w:r>
      <w:r>
        <w:rPr>
          <w:rFonts w:ascii="仿宋" w:hAnsi="仿宋" w:eastAsia="仿宋"/>
          <w:sz w:val="28"/>
          <w:szCs w:val="28"/>
        </w:rPr>
        <w:t>月</w:t>
      </w:r>
      <w:r>
        <w:rPr>
          <w:rFonts w:hint="eastAsia" w:ascii="仿宋" w:hAnsi="仿宋" w:eastAsia="仿宋"/>
          <w:sz w:val="28"/>
          <w:szCs w:val="28"/>
          <w:lang w:val="en-US" w:eastAsia="zh-CN"/>
        </w:rPr>
        <w:t>30</w:t>
      </w:r>
      <w:r>
        <w:rPr>
          <w:rFonts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时（北京时间）前到账，投标截止时间之后递交的投标保证金将被拒绝</w:t>
      </w:r>
      <w:r>
        <w:rPr>
          <w:rFonts w:hint="eastAsia" w:ascii="仿宋" w:hAnsi="仿宋" w:eastAsia="仿宋"/>
          <w:sz w:val="28"/>
          <w:szCs w:val="28"/>
          <w:lang w:eastAsia="zh-CN"/>
        </w:rPr>
        <w:t>。</w:t>
      </w:r>
      <w:bookmarkStart w:id="131" w:name="_GoBack"/>
      <w:bookmarkEnd w:id="131"/>
      <w:r>
        <w:rPr>
          <w:rFonts w:hint="eastAsia" w:ascii="仿宋" w:hAnsi="仿宋" w:eastAsia="仿宋"/>
          <w:sz w:val="28"/>
          <w:szCs w:val="28"/>
        </w:rPr>
        <w:t>公对公电汇转账方式缴纳（不接受现金及个人转账）。最终以洛阳万基宏远电力有限公司财务所开收到凭证为准。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IV.投标人违反纪律与保密的有关规定；</w:t>
      </w:r>
    </w:p>
    <w:p w14:paraId="5EFC7F0F">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若中标人违约，则该笔保证金将予以扣除，并将投标人列入信用黑名单。</w:t>
      </w:r>
    </w:p>
    <w:p w14:paraId="3006886F">
      <w:pPr>
        <w:spacing w:line="700" w:lineRule="exact"/>
        <w:rPr>
          <w:rFonts w:hint="eastAsia" w:ascii="仿宋" w:hAnsi="仿宋" w:eastAsia="仿宋"/>
          <w:sz w:val="28"/>
          <w:szCs w:val="24"/>
        </w:rPr>
      </w:pPr>
    </w:p>
    <w:p w14:paraId="38ED5D6D">
      <w:pPr>
        <w:spacing w:line="700" w:lineRule="exact"/>
        <w:rPr>
          <w:rFonts w:hint="eastAsia" w:ascii="仿宋" w:hAnsi="仿宋" w:eastAsia="仿宋"/>
          <w:sz w:val="28"/>
          <w:szCs w:val="24"/>
        </w:rPr>
      </w:pPr>
    </w:p>
    <w:p w14:paraId="2D5DBAB6">
      <w:pPr>
        <w:spacing w:line="700" w:lineRule="exact"/>
        <w:rPr>
          <w:rFonts w:hint="eastAsia" w:ascii="仿宋" w:hAnsi="仿宋" w:eastAsia="仿宋"/>
          <w:sz w:val="28"/>
          <w:szCs w:val="24"/>
        </w:rPr>
      </w:pPr>
    </w:p>
    <w:p w14:paraId="3291EAC5">
      <w:pPr>
        <w:spacing w:line="700" w:lineRule="exact"/>
        <w:rPr>
          <w:rFonts w:hint="eastAsia" w:ascii="仿宋" w:hAnsi="仿宋" w:eastAsia="仿宋"/>
          <w:sz w:val="28"/>
          <w:szCs w:val="24"/>
        </w:rPr>
      </w:pPr>
    </w:p>
    <w:p w14:paraId="64844864">
      <w:pPr>
        <w:spacing w:line="700" w:lineRule="exact"/>
        <w:rPr>
          <w:rFonts w:hint="eastAsia" w:ascii="仿宋" w:hAnsi="仿宋" w:eastAsia="仿宋"/>
          <w:sz w:val="28"/>
          <w:szCs w:val="24"/>
        </w:rPr>
      </w:pPr>
    </w:p>
    <w:p w14:paraId="5B0ACE96">
      <w:pPr>
        <w:spacing w:line="700" w:lineRule="exact"/>
        <w:rPr>
          <w:rFonts w:hint="eastAsia" w:ascii="仿宋" w:hAnsi="仿宋" w:eastAsia="仿宋"/>
          <w:sz w:val="28"/>
          <w:szCs w:val="24"/>
        </w:rPr>
      </w:pPr>
    </w:p>
    <w:p w14:paraId="6A6FE75F">
      <w:pPr>
        <w:spacing w:line="700" w:lineRule="exact"/>
        <w:rPr>
          <w:rFonts w:hint="eastAsia" w:ascii="仿宋" w:hAnsi="仿宋" w:eastAsia="仿宋"/>
          <w:sz w:val="28"/>
          <w:szCs w:val="24"/>
        </w:rPr>
      </w:pPr>
    </w:p>
    <w:p w14:paraId="4E6F17F4">
      <w:pPr>
        <w:spacing w:line="700" w:lineRule="exact"/>
        <w:rPr>
          <w:rFonts w:hint="eastAsia" w:ascii="仿宋" w:hAnsi="仿宋" w:eastAsia="仿宋"/>
          <w:sz w:val="28"/>
          <w:szCs w:val="24"/>
        </w:rPr>
      </w:pPr>
    </w:p>
    <w:p w14:paraId="670D5C9C">
      <w:pPr>
        <w:spacing w:line="700" w:lineRule="exact"/>
        <w:rPr>
          <w:rFonts w:hint="eastAsia" w:ascii="仿宋" w:hAnsi="仿宋" w:eastAsia="仿宋"/>
          <w:sz w:val="28"/>
          <w:szCs w:val="24"/>
        </w:rPr>
      </w:pPr>
    </w:p>
    <w:p w14:paraId="1362698B">
      <w:pPr>
        <w:spacing w:line="700" w:lineRule="exact"/>
        <w:rPr>
          <w:rFonts w:hint="eastAsia" w:ascii="仿宋" w:hAnsi="仿宋" w:eastAsia="仿宋"/>
          <w:sz w:val="28"/>
          <w:szCs w:val="24"/>
        </w:rPr>
      </w:pPr>
    </w:p>
    <w:p w14:paraId="6EF12E62">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51E2B1F2">
      <w:pPr>
        <w:spacing w:line="500" w:lineRule="exact"/>
        <w:ind w:firstLine="560" w:firstLineChars="200"/>
        <w:rPr>
          <w:rFonts w:ascii="仿宋" w:hAnsi="仿宋" w:eastAsia="仿宋"/>
          <w:sz w:val="28"/>
          <w:szCs w:val="28"/>
        </w:rPr>
      </w:pPr>
    </w:p>
    <w:p w14:paraId="447FB1EB">
      <w:pPr>
        <w:spacing w:line="360" w:lineRule="auto"/>
      </w:pPr>
    </w:p>
    <w:p w14:paraId="0C1FC80D">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F8CF28C">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4"/>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4"/>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4"/>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6BB8C2CF">
      <w:pPr>
        <w:spacing w:line="700" w:lineRule="exact"/>
        <w:rPr>
          <w:rFonts w:ascii="仿宋" w:hAnsi="仿宋" w:eastAsia="仿宋"/>
          <w:sz w:val="28"/>
          <w:szCs w:val="24"/>
        </w:rPr>
      </w:pPr>
    </w:p>
    <w:p w14:paraId="1F719C5D">
      <w:pPr>
        <w:spacing w:line="700" w:lineRule="exact"/>
        <w:rPr>
          <w:rFonts w:ascii="仿宋" w:hAnsi="仿宋" w:eastAsia="仿宋"/>
          <w:sz w:val="28"/>
          <w:szCs w:val="24"/>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1FCC3B01">
      <w:pPr>
        <w:spacing w:line="500" w:lineRule="exact"/>
        <w:rPr>
          <w:rFonts w:ascii="仿宋" w:hAnsi="仿宋" w:eastAsia="仿宋"/>
          <w:sz w:val="28"/>
          <w:szCs w:val="24"/>
        </w:rPr>
      </w:pPr>
    </w:p>
    <w:p w14:paraId="73F760E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340974C7">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1B63ABF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794E0B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6981EC5D">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0FA2847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68C2F1C7">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50E7EF31">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13B31513">
      <w:pPr>
        <w:tabs>
          <w:tab w:val="left" w:pos="630"/>
          <w:tab w:val="left" w:pos="7560"/>
        </w:tabs>
        <w:spacing w:line="360" w:lineRule="auto"/>
        <w:rPr>
          <w:rFonts w:hint="eastAsia" w:ascii="仿宋" w:hAnsi="仿宋" w:eastAsia="仿宋"/>
          <w:sz w:val="28"/>
          <w:szCs w:val="28"/>
        </w:rPr>
      </w:pPr>
    </w:p>
    <w:p w14:paraId="0CD0D10E">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宏远电力#2机组锅炉壁温系统升级项目报价单</w:t>
      </w:r>
    </w:p>
    <w:p w14:paraId="3D48B864">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59"/>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7647EF18">
            <w:pPr>
              <w:widowControl w:val="0"/>
              <w:snapToGrid/>
              <w:spacing w:after="0" w:line="360" w:lineRule="auto"/>
              <w:jc w:val="center"/>
              <w:textAlignment w:val="baseline"/>
              <w:rPr>
                <w:rFonts w:hint="default" w:ascii="宋体" w:hAnsi="Times New Roman" w:eastAsia="宋体" w:cs="Times New Roman"/>
                <w:b/>
                <w:color w:val="auto"/>
                <w:sz w:val="44"/>
                <w:szCs w:val="44"/>
                <w:highlight w:val="none"/>
                <w:lang w:val="en-US"/>
              </w:rPr>
            </w:pPr>
            <w:r>
              <w:rPr>
                <w:rFonts w:hint="eastAsia" w:ascii="仿宋" w:hAnsi="仿宋" w:eastAsia="仿宋" w:cs="仿宋"/>
                <w:i w:val="0"/>
                <w:color w:val="000000"/>
                <w:kern w:val="0"/>
                <w:sz w:val="24"/>
                <w:szCs w:val="24"/>
                <w:u w:val="none"/>
                <w:lang w:val="en-US" w:eastAsia="zh-CN" w:bidi="ar"/>
              </w:rPr>
              <w:t>宏远电力#2机组锅炉壁温系统升级项目</w:t>
            </w:r>
          </w:p>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质保期自调试验收合格之日起12个月，质保期内出现任何非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53C9CD9E">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r>
        <w:rPr>
          <w:rFonts w:hint="eastAsia" w:ascii="仿宋" w:hAnsi="仿宋" w:eastAsia="仿宋" w:cs="宋体"/>
          <w:b/>
          <w:bCs/>
          <w:sz w:val="44"/>
          <w:szCs w:val="44"/>
        </w:rPr>
        <w:t>有限公司</w:t>
      </w:r>
    </w:p>
    <w:p w14:paraId="7FE207CD">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p>
    <w:p w14:paraId="1D5248C6">
      <w:pPr>
        <w:spacing w:line="380" w:lineRule="atLeast"/>
        <w:jc w:val="center"/>
        <w:rPr>
          <w:rFonts w:ascii="仿宋_GB2312" w:hAnsi="仿宋" w:eastAsia="仿宋_GB2312"/>
          <w:b/>
          <w:bCs/>
          <w:sz w:val="44"/>
          <w:szCs w:val="44"/>
        </w:rPr>
      </w:pPr>
    </w:p>
    <w:p w14:paraId="78BE8CCC">
      <w:pPr>
        <w:spacing w:line="380" w:lineRule="atLeast"/>
        <w:jc w:val="center"/>
        <w:rPr>
          <w:rFonts w:ascii="仿宋_GB2312" w:hAnsi="仿宋" w:eastAsia="仿宋_GB2312"/>
          <w:b/>
          <w:bCs/>
          <w:sz w:val="44"/>
          <w:szCs w:val="44"/>
        </w:rPr>
      </w:pPr>
    </w:p>
    <w:p w14:paraId="412C6924">
      <w:pPr>
        <w:jc w:val="center"/>
        <w:rPr>
          <w:rFonts w:ascii="仿宋_GB2312" w:hAnsi="仿宋" w:eastAsia="仿宋_GB2312"/>
          <w:b/>
          <w:sz w:val="72"/>
          <w:szCs w:val="72"/>
        </w:rPr>
      </w:pPr>
    </w:p>
    <w:p w14:paraId="5FCA6DCE">
      <w:pPr>
        <w:jc w:val="center"/>
        <w:rPr>
          <w:rFonts w:ascii="仿宋_GB2312" w:hAnsi="仿宋" w:eastAsia="仿宋_GB2312"/>
          <w:b/>
          <w:color w:val="000000"/>
          <w:sz w:val="72"/>
          <w:szCs w:val="72"/>
        </w:rPr>
      </w:pPr>
      <w:r>
        <w:rPr>
          <w:rFonts w:hint="eastAsia" w:ascii="仿宋_GB2312" w:hAnsi="仿宋" w:eastAsia="仿宋_GB2312"/>
          <w:b/>
          <w:color w:val="000000"/>
          <w:sz w:val="72"/>
          <w:szCs w:val="72"/>
        </w:rPr>
        <w:t>商 务 合 同</w:t>
      </w:r>
    </w:p>
    <w:p w14:paraId="28955B35">
      <w:pPr>
        <w:spacing w:line="560" w:lineRule="exact"/>
        <w:ind w:firstLine="2720" w:firstLineChars="850"/>
        <w:rPr>
          <w:rFonts w:ascii="仿宋_GB2312" w:hAnsi="仿宋" w:eastAsia="仿宋_GB2312"/>
          <w:color w:val="000000"/>
          <w:sz w:val="32"/>
          <w:szCs w:val="32"/>
        </w:rPr>
      </w:pPr>
      <w:r>
        <w:rPr>
          <w:rFonts w:hint="eastAsia" w:ascii="仿宋_GB2312" w:hAnsi="仿宋" w:eastAsia="仿宋_GB2312"/>
          <w:color w:val="000000"/>
          <w:sz w:val="32"/>
          <w:szCs w:val="32"/>
        </w:rPr>
        <w:t>合同编号：WJ-CG(202</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w:t>
      </w:r>
      <w:r>
        <w:rPr>
          <w:rFonts w:ascii="仿宋_GB2312" w:hAnsi="仿宋" w:eastAsia="仿宋_GB2312"/>
          <w:color w:val="000000"/>
          <w:sz w:val="32"/>
          <w:szCs w:val="32"/>
        </w:rPr>
        <w:t>***</w:t>
      </w:r>
    </w:p>
    <w:p w14:paraId="3F95AC53">
      <w:pPr>
        <w:pStyle w:val="6"/>
        <w:numPr>
          <w:ilvl w:val="3"/>
          <w:numId w:val="0"/>
        </w:numPr>
        <w:ind w:left="1260" w:leftChars="0"/>
      </w:pPr>
    </w:p>
    <w:p w14:paraId="1FA2B32C"/>
    <w:p w14:paraId="0D2288AE">
      <w:pPr>
        <w:spacing w:line="560" w:lineRule="exact"/>
        <w:rPr>
          <w:rFonts w:ascii="仿宋_GB2312" w:hAnsi="仿宋" w:eastAsia="仿宋_GB2312" w:cs="宋体"/>
          <w:color w:val="000000"/>
          <w:sz w:val="32"/>
          <w:szCs w:val="32"/>
        </w:rPr>
      </w:pPr>
    </w:p>
    <w:p w14:paraId="00E2361C">
      <w:pPr>
        <w:spacing w:line="560" w:lineRule="exact"/>
        <w:ind w:firstLine="640" w:firstLineChars="200"/>
        <w:rPr>
          <w:rFonts w:ascii="仿宋_GB2312" w:hAnsi="仿宋" w:eastAsia="仿宋_GB2312" w:cs="宋体"/>
          <w:color w:val="000000"/>
          <w:sz w:val="32"/>
          <w:szCs w:val="32"/>
        </w:rPr>
      </w:pPr>
    </w:p>
    <w:p w14:paraId="01427ACF">
      <w:pPr>
        <w:spacing w:line="560" w:lineRule="exact"/>
        <w:ind w:firstLine="640" w:firstLineChars="200"/>
        <w:rPr>
          <w:rFonts w:ascii="仿宋_GB2312" w:hAnsi="仿宋" w:eastAsia="仿宋_GB2312" w:cs="宋体"/>
          <w:color w:val="000000"/>
          <w:sz w:val="32"/>
          <w:szCs w:val="32"/>
        </w:rPr>
      </w:pPr>
    </w:p>
    <w:p w14:paraId="6E6E183C">
      <w:pPr>
        <w:spacing w:line="560" w:lineRule="exact"/>
        <w:ind w:firstLine="640" w:firstLineChars="200"/>
        <w:jc w:val="center"/>
        <w:rPr>
          <w:rFonts w:ascii="仿宋_GB2312" w:hAnsi="仿宋" w:eastAsia="仿宋_GB2312" w:cs="宋体"/>
          <w:color w:val="000000"/>
          <w:sz w:val="32"/>
          <w:szCs w:val="32"/>
        </w:rPr>
      </w:pPr>
      <w:r>
        <w:rPr>
          <w:rFonts w:hint="eastAsia" w:ascii="仿宋_GB2312" w:hAnsi="仿宋" w:eastAsia="仿宋_GB2312" w:cs="宋体"/>
          <w:color w:val="000000"/>
          <w:sz w:val="32"/>
          <w:szCs w:val="32"/>
        </w:rPr>
        <w:t>甲方：*</w:t>
      </w:r>
      <w:r>
        <w:rPr>
          <w:rFonts w:ascii="仿宋_GB2312" w:hAnsi="仿宋" w:eastAsia="仿宋_GB2312" w:cs="宋体"/>
          <w:color w:val="000000"/>
          <w:sz w:val="32"/>
          <w:szCs w:val="32"/>
        </w:rPr>
        <w:t>*******************</w:t>
      </w:r>
    </w:p>
    <w:p w14:paraId="10A4B49D">
      <w:pPr>
        <w:spacing w:line="56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 xml:space="preserve">             乙方：*</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公司</w:t>
      </w:r>
    </w:p>
    <w:p w14:paraId="19B1AB1A">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签订时间：202</w:t>
      </w:r>
      <w:r>
        <w:rPr>
          <w:rFonts w:hint="eastAsia" w:ascii="仿宋_GB2312" w:hAnsi="仿宋" w:eastAsia="仿宋_GB2312" w:cs="宋体"/>
          <w:color w:val="000000"/>
          <w:sz w:val="32"/>
          <w:szCs w:val="32"/>
          <w:lang w:val="en-US" w:eastAsia="zh-CN"/>
        </w:rPr>
        <w:t>6</w:t>
      </w:r>
      <w:r>
        <w:rPr>
          <w:rFonts w:hint="eastAsia" w:ascii="仿宋_GB2312" w:hAnsi="仿宋" w:eastAsia="仿宋_GB2312" w:cs="宋体"/>
          <w:color w:val="000000"/>
          <w:sz w:val="32"/>
          <w:szCs w:val="32"/>
        </w:rPr>
        <w:t>年</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月</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日</w:t>
      </w:r>
    </w:p>
    <w:p w14:paraId="4FFDC389">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签订地点：新安县产业集聚区</w:t>
      </w:r>
    </w:p>
    <w:p w14:paraId="7D130A48">
      <w:pPr>
        <w:tabs>
          <w:tab w:val="left" w:pos="8280"/>
        </w:tabs>
        <w:spacing w:line="500" w:lineRule="exact"/>
        <w:rPr>
          <w:rFonts w:ascii="仿宋_GB2312" w:hAnsi="仿宋" w:eastAsia="仿宋_GB2312"/>
          <w:bCs/>
          <w:color w:val="000000"/>
          <w:sz w:val="28"/>
          <w:szCs w:val="28"/>
        </w:rPr>
      </w:pPr>
    </w:p>
    <w:p w14:paraId="5715B39E">
      <w:pPr>
        <w:tabs>
          <w:tab w:val="left" w:pos="8280"/>
        </w:tabs>
        <w:spacing w:line="460" w:lineRule="exact"/>
        <w:ind w:firstLine="560" w:firstLineChars="200"/>
        <w:rPr>
          <w:rFonts w:hint="eastAsia" w:ascii="仿宋_GB2312" w:hAnsi="仿宋" w:eastAsia="仿宋_GB2312"/>
          <w:bCs/>
          <w:color w:val="000000"/>
          <w:sz w:val="28"/>
          <w:szCs w:val="28"/>
        </w:rPr>
      </w:pPr>
    </w:p>
    <w:p w14:paraId="514CEE04">
      <w:pPr>
        <w:tabs>
          <w:tab w:val="left" w:pos="8280"/>
        </w:tabs>
        <w:spacing w:line="460" w:lineRule="exact"/>
        <w:ind w:firstLine="560" w:firstLineChars="200"/>
        <w:rPr>
          <w:rFonts w:hint="eastAsia" w:ascii="仿宋_GB2312" w:hAnsi="仿宋" w:eastAsia="仿宋_GB2312"/>
          <w:bCs/>
          <w:color w:val="000000"/>
          <w:sz w:val="28"/>
          <w:szCs w:val="28"/>
        </w:rPr>
      </w:pPr>
    </w:p>
    <w:p w14:paraId="28EBBDF3">
      <w:pPr>
        <w:tabs>
          <w:tab w:val="left" w:pos="8280"/>
        </w:tabs>
        <w:spacing w:line="460" w:lineRule="exact"/>
        <w:ind w:firstLine="560" w:firstLineChars="200"/>
        <w:rPr>
          <w:rFonts w:hint="eastAsia" w:ascii="仿宋_GB2312" w:hAnsi="仿宋" w:eastAsia="仿宋_GB2312"/>
          <w:bCs/>
          <w:color w:val="000000"/>
          <w:sz w:val="28"/>
          <w:szCs w:val="28"/>
        </w:rPr>
      </w:pPr>
    </w:p>
    <w:p w14:paraId="5543365C">
      <w:pPr>
        <w:tabs>
          <w:tab w:val="left" w:pos="8280"/>
        </w:tabs>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就甲方*</w:t>
      </w:r>
      <w:r>
        <w:rPr>
          <w:rFonts w:ascii="仿宋_GB2312" w:hAnsi="仿宋" w:eastAsia="仿宋_GB2312"/>
          <w:bCs/>
          <w:color w:val="000000"/>
          <w:sz w:val="28"/>
          <w:szCs w:val="28"/>
        </w:rPr>
        <w:t>********</w:t>
      </w:r>
      <w:r>
        <w:rPr>
          <w:rFonts w:hint="eastAsia" w:ascii="仿宋_GB2312" w:hAnsi="仿宋" w:eastAsia="仿宋_GB2312"/>
          <w:bCs/>
          <w:color w:val="000000"/>
          <w:sz w:val="28"/>
          <w:szCs w:val="28"/>
        </w:rPr>
        <w:t>事宜，甲乙双方本着平等互利的原则，经友好协商，同意按如下条款签订本合同。</w:t>
      </w:r>
    </w:p>
    <w:p w14:paraId="0E894E3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448AC2A3">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1、“合同”指甲方和乙方（以下简称合同双方）已达成的协议，即由双方签订的合同中的文件，包括技术协议、所有的附件、附录和组成合同部分的所有其它文件。</w:t>
      </w:r>
    </w:p>
    <w:p w14:paraId="1A59D091">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2、“合同价格”指合同规定，在乙方全面正确的履行合同义务时甲方应支付给乙方的款项。</w:t>
      </w:r>
    </w:p>
    <w:p w14:paraId="02A30CFE">
      <w:pPr>
        <w:snapToGrid w:val="0"/>
        <w:spacing w:line="460" w:lineRule="exact"/>
        <w:ind w:firstLine="700" w:firstLineChars="250"/>
        <w:rPr>
          <w:rFonts w:ascii="仿宋_GB2312" w:hAnsi="仿宋" w:eastAsia="仿宋_GB2312"/>
          <w:bCs/>
          <w:sz w:val="28"/>
          <w:szCs w:val="28"/>
        </w:rPr>
      </w:pPr>
      <w:r>
        <w:rPr>
          <w:rFonts w:hint="eastAsia" w:ascii="仿宋_GB2312" w:hAnsi="仿宋" w:eastAsia="仿宋_GB2312"/>
          <w:bCs/>
          <w:sz w:val="28"/>
          <w:szCs w:val="28"/>
        </w:rPr>
        <w:t>3、“**”指乙方按合同要求，须向甲方提供的**服务。</w:t>
      </w:r>
    </w:p>
    <w:p w14:paraId="4436163C">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4、“服务”指合同规定乙方须承担的**、技术协助、培训以及其它类似的售后服务义务。</w:t>
      </w:r>
    </w:p>
    <w:p w14:paraId="69FFCAD9">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5、“现场”指将要进行维修保养的设备所在地点，即：**公司现场。</w:t>
      </w:r>
    </w:p>
    <w:p w14:paraId="1515C98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6、“验收”指甲方依据合同所附技术协议书的规定接受维护保养所依据的程序和条件。</w:t>
      </w:r>
    </w:p>
    <w:p w14:paraId="7FE088E4">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2    大修范围</w:t>
      </w:r>
    </w:p>
    <w:p w14:paraId="63F09F0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1、项目名称：*</w:t>
      </w:r>
      <w:r>
        <w:rPr>
          <w:rFonts w:ascii="仿宋_GB2312" w:hAnsi="仿宋" w:eastAsia="仿宋_GB2312"/>
          <w:bCs/>
          <w:color w:val="000000"/>
          <w:sz w:val="28"/>
          <w:szCs w:val="28"/>
        </w:rPr>
        <w:t>****************</w:t>
      </w:r>
    </w:p>
    <w:p w14:paraId="211156F7">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1.1施工范围：详见技术协议书</w:t>
      </w:r>
    </w:p>
    <w:p w14:paraId="3141F488">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合同施工范围虽然在合同中有表述，但在执行过程中如发现有任何漏项和缺陷，在合同中并未列入而且确实是大修范围内应该有的并且是为了满足合同技术协议对合同设备的性能保证要求所必须的，是国家强制性要求必须的，均应由乙方负责将所缺的项目补上，所发生的费用由乙方负担。</w:t>
      </w:r>
    </w:p>
    <w:p w14:paraId="4FB77B78">
      <w:pPr>
        <w:snapToGrid w:val="0"/>
        <w:spacing w:line="60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4D089BCF">
      <w:pPr>
        <w:snapToGrid w:val="0"/>
        <w:spacing w:line="60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1、大修项目及价格：                        单位：元</w:t>
      </w:r>
    </w:p>
    <w:tbl>
      <w:tblPr>
        <w:tblStyle w:val="58"/>
        <w:tblW w:w="0" w:type="auto"/>
        <w:tblInd w:w="289" w:type="dxa"/>
        <w:tblLayout w:type="fixed"/>
        <w:tblCellMar>
          <w:top w:w="0" w:type="dxa"/>
          <w:left w:w="0" w:type="dxa"/>
          <w:bottom w:w="0" w:type="dxa"/>
          <w:right w:w="0" w:type="dxa"/>
        </w:tblCellMar>
      </w:tblPr>
      <w:tblGrid>
        <w:gridCol w:w="709"/>
        <w:gridCol w:w="2693"/>
        <w:gridCol w:w="1559"/>
        <w:gridCol w:w="709"/>
        <w:gridCol w:w="850"/>
        <w:gridCol w:w="1296"/>
        <w:gridCol w:w="1398"/>
      </w:tblGrid>
      <w:tr w14:paraId="3CF2C728">
        <w:tblPrEx>
          <w:tblCellMar>
            <w:top w:w="0" w:type="dxa"/>
            <w:left w:w="0" w:type="dxa"/>
            <w:bottom w:w="0" w:type="dxa"/>
            <w:right w:w="0" w:type="dxa"/>
          </w:tblCellMar>
        </w:tblPrEx>
        <w:trPr>
          <w:trHeight w:val="499" w:hRule="atLeast"/>
        </w:trPr>
        <w:tc>
          <w:tcPr>
            <w:tcW w:w="709" w:type="dxa"/>
            <w:tcBorders>
              <w:top w:val="single" w:color="auto" w:sz="4" w:space="0"/>
              <w:left w:val="single" w:color="auto" w:sz="4" w:space="0"/>
              <w:bottom w:val="single" w:color="auto" w:sz="4" w:space="0"/>
              <w:right w:val="single" w:color="auto" w:sz="4" w:space="0"/>
            </w:tcBorders>
            <w:vAlign w:val="center"/>
          </w:tcPr>
          <w:p w14:paraId="5E4E3FA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序号</w:t>
            </w:r>
          </w:p>
        </w:tc>
        <w:tc>
          <w:tcPr>
            <w:tcW w:w="2693" w:type="dxa"/>
            <w:tcBorders>
              <w:top w:val="single" w:color="auto" w:sz="4" w:space="0"/>
              <w:left w:val="nil"/>
              <w:bottom w:val="single" w:color="auto" w:sz="4" w:space="0"/>
              <w:right w:val="single" w:color="auto" w:sz="4" w:space="0"/>
            </w:tcBorders>
            <w:vAlign w:val="center"/>
          </w:tcPr>
          <w:p w14:paraId="7AEC88E9">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名称</w:t>
            </w:r>
          </w:p>
        </w:tc>
        <w:tc>
          <w:tcPr>
            <w:tcW w:w="1559" w:type="dxa"/>
            <w:tcBorders>
              <w:top w:val="single" w:color="auto" w:sz="4" w:space="0"/>
              <w:left w:val="nil"/>
              <w:bottom w:val="single" w:color="auto" w:sz="4" w:space="0"/>
              <w:right w:val="single" w:color="auto" w:sz="4" w:space="0"/>
            </w:tcBorders>
            <w:vAlign w:val="center"/>
          </w:tcPr>
          <w:p w14:paraId="5F4D4908">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型号</w:t>
            </w:r>
          </w:p>
        </w:tc>
        <w:tc>
          <w:tcPr>
            <w:tcW w:w="709" w:type="dxa"/>
            <w:tcBorders>
              <w:top w:val="single" w:color="auto" w:sz="4" w:space="0"/>
              <w:left w:val="nil"/>
              <w:bottom w:val="single" w:color="auto" w:sz="4" w:space="0"/>
              <w:right w:val="single" w:color="auto" w:sz="4" w:space="0"/>
            </w:tcBorders>
            <w:vAlign w:val="center"/>
          </w:tcPr>
          <w:p w14:paraId="32F79172">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单位</w:t>
            </w:r>
          </w:p>
        </w:tc>
        <w:tc>
          <w:tcPr>
            <w:tcW w:w="850" w:type="dxa"/>
            <w:tcBorders>
              <w:top w:val="single" w:color="auto" w:sz="4" w:space="0"/>
              <w:left w:val="nil"/>
              <w:bottom w:val="single" w:color="auto" w:sz="4" w:space="0"/>
              <w:right w:val="single" w:color="auto" w:sz="4" w:space="0"/>
            </w:tcBorders>
            <w:vAlign w:val="center"/>
          </w:tcPr>
          <w:p w14:paraId="5E939E93">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数量</w:t>
            </w:r>
          </w:p>
        </w:tc>
        <w:tc>
          <w:tcPr>
            <w:tcW w:w="1296" w:type="dxa"/>
            <w:tcBorders>
              <w:top w:val="single" w:color="auto" w:sz="4" w:space="0"/>
              <w:left w:val="nil"/>
              <w:bottom w:val="single" w:color="auto" w:sz="4" w:space="0"/>
              <w:right w:val="single" w:color="auto" w:sz="4" w:space="0"/>
            </w:tcBorders>
            <w:vAlign w:val="center"/>
          </w:tcPr>
          <w:p w14:paraId="60375746">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单价(元)</w:t>
            </w:r>
          </w:p>
        </w:tc>
        <w:tc>
          <w:tcPr>
            <w:tcW w:w="1398" w:type="dxa"/>
            <w:tcBorders>
              <w:top w:val="single" w:color="auto" w:sz="4" w:space="0"/>
              <w:left w:val="single" w:color="auto" w:sz="4" w:space="0"/>
              <w:bottom w:val="single" w:color="auto" w:sz="4" w:space="0"/>
              <w:right w:val="single" w:color="auto" w:sz="4" w:space="0"/>
            </w:tcBorders>
            <w:vAlign w:val="center"/>
          </w:tcPr>
          <w:p w14:paraId="461C0B8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总价(元)</w:t>
            </w:r>
          </w:p>
        </w:tc>
      </w:tr>
      <w:tr w14:paraId="2FABC495">
        <w:tblPrEx>
          <w:tblCellMar>
            <w:top w:w="0" w:type="dxa"/>
            <w:left w:w="0" w:type="dxa"/>
            <w:bottom w:w="0" w:type="dxa"/>
            <w:right w:w="0" w:type="dxa"/>
          </w:tblCellMar>
        </w:tblPrEx>
        <w:trPr>
          <w:trHeight w:val="485" w:hRule="atLeast"/>
        </w:trPr>
        <w:tc>
          <w:tcPr>
            <w:tcW w:w="709" w:type="dxa"/>
            <w:tcBorders>
              <w:top w:val="single" w:color="auto" w:sz="4" w:space="0"/>
              <w:left w:val="single" w:color="auto" w:sz="4" w:space="0"/>
              <w:bottom w:val="single" w:color="auto" w:sz="4" w:space="0"/>
              <w:right w:val="single" w:color="auto" w:sz="4" w:space="0"/>
            </w:tcBorders>
            <w:vAlign w:val="center"/>
          </w:tcPr>
          <w:p w14:paraId="48CF1B34">
            <w:pPr>
              <w:snapToGrid w:val="0"/>
              <w:spacing w:line="360" w:lineRule="auto"/>
              <w:ind w:firstLine="280" w:firstLineChars="100"/>
              <w:rPr>
                <w:rFonts w:ascii="仿宋_GB2312" w:hAnsi="仿宋" w:eastAsia="仿宋_GB2312"/>
                <w:bCs/>
                <w:color w:val="000000"/>
                <w:sz w:val="28"/>
                <w:szCs w:val="28"/>
              </w:rPr>
            </w:pPr>
            <w:r>
              <w:rPr>
                <w:rFonts w:hint="eastAsia" w:ascii="仿宋_GB2312" w:hAnsi="仿宋" w:eastAsia="仿宋_GB2312"/>
                <w:bCs/>
                <w:color w:val="000000"/>
                <w:sz w:val="28"/>
                <w:szCs w:val="28"/>
              </w:rPr>
              <w:t>1</w:t>
            </w:r>
          </w:p>
        </w:tc>
        <w:tc>
          <w:tcPr>
            <w:tcW w:w="2693" w:type="dxa"/>
            <w:tcBorders>
              <w:top w:val="single" w:color="auto" w:sz="4" w:space="0"/>
              <w:left w:val="nil"/>
              <w:bottom w:val="single" w:color="auto" w:sz="4" w:space="0"/>
              <w:right w:val="single" w:color="auto" w:sz="4" w:space="0"/>
            </w:tcBorders>
            <w:vAlign w:val="center"/>
          </w:tcPr>
          <w:p w14:paraId="4C537348">
            <w:pPr>
              <w:spacing w:line="360" w:lineRule="exact"/>
              <w:ind w:left="6720" w:hanging="6720" w:hangingChars="2400"/>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559" w:type="dxa"/>
            <w:tcBorders>
              <w:top w:val="single" w:color="auto" w:sz="4" w:space="0"/>
              <w:left w:val="nil"/>
              <w:bottom w:val="single" w:color="auto" w:sz="4" w:space="0"/>
              <w:right w:val="single" w:color="auto" w:sz="4" w:space="0"/>
            </w:tcBorders>
            <w:vAlign w:val="center"/>
          </w:tcPr>
          <w:p w14:paraId="387A5F62">
            <w:pPr>
              <w:jc w:val="center"/>
              <w:rPr>
                <w:rFonts w:ascii="仿宋_GB2312" w:hAnsi="仿宋" w:eastAsia="仿宋_GB2312" w:cs="宋体"/>
                <w:color w:val="000000"/>
                <w:sz w:val="28"/>
                <w:szCs w:val="28"/>
              </w:rPr>
            </w:pPr>
            <w:r>
              <w:rPr>
                <w:rFonts w:hint="eastAsia" w:ascii="仿宋_GB2312" w:hAnsi="仿宋" w:eastAsia="仿宋_GB2312" w:cs="宋体"/>
                <w:color w:val="000000"/>
                <w:sz w:val="24"/>
                <w:szCs w:val="24"/>
              </w:rPr>
              <w:t>详见技术协议</w:t>
            </w:r>
          </w:p>
        </w:tc>
        <w:tc>
          <w:tcPr>
            <w:tcW w:w="709" w:type="dxa"/>
            <w:tcBorders>
              <w:top w:val="single" w:color="auto" w:sz="4" w:space="0"/>
              <w:left w:val="nil"/>
              <w:bottom w:val="single" w:color="auto" w:sz="4" w:space="0"/>
              <w:right w:val="single" w:color="auto" w:sz="4" w:space="0"/>
            </w:tcBorders>
            <w:vAlign w:val="center"/>
          </w:tcPr>
          <w:p w14:paraId="49A9FE5B">
            <w:pPr>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台</w:t>
            </w:r>
          </w:p>
        </w:tc>
        <w:tc>
          <w:tcPr>
            <w:tcW w:w="850" w:type="dxa"/>
            <w:tcBorders>
              <w:top w:val="single" w:color="auto" w:sz="4" w:space="0"/>
              <w:left w:val="nil"/>
              <w:bottom w:val="single" w:color="auto" w:sz="4" w:space="0"/>
              <w:right w:val="single" w:color="auto" w:sz="4" w:space="0"/>
            </w:tcBorders>
            <w:vAlign w:val="center"/>
          </w:tcPr>
          <w:p w14:paraId="198FB50A">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296" w:type="dxa"/>
            <w:tcBorders>
              <w:top w:val="single" w:color="auto" w:sz="4" w:space="0"/>
              <w:left w:val="nil"/>
              <w:bottom w:val="single" w:color="auto" w:sz="4" w:space="0"/>
              <w:right w:val="single" w:color="auto" w:sz="4" w:space="0"/>
            </w:tcBorders>
            <w:vAlign w:val="center"/>
          </w:tcPr>
          <w:p w14:paraId="3920FB27">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c>
          <w:tcPr>
            <w:tcW w:w="1398" w:type="dxa"/>
            <w:tcBorders>
              <w:top w:val="single" w:color="auto" w:sz="4" w:space="0"/>
              <w:left w:val="single" w:color="auto" w:sz="4" w:space="0"/>
              <w:bottom w:val="single" w:color="auto" w:sz="4" w:space="0"/>
              <w:right w:val="single" w:color="auto" w:sz="4" w:space="0"/>
            </w:tcBorders>
            <w:vAlign w:val="center"/>
          </w:tcPr>
          <w:p w14:paraId="414FDBB0">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r>
      <w:tr w14:paraId="2701F23F">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6BA15334">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不含税单价：</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          税率：</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税额：</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w:t>
            </w:r>
          </w:p>
        </w:tc>
      </w:tr>
      <w:tr w14:paraId="5A8F0D5E">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10B71436">
            <w:pPr>
              <w:spacing w:line="360" w:lineRule="exact"/>
              <w:ind w:left="6720" w:hanging="6720" w:hangingChars="2400"/>
              <w:jc w:val="left"/>
              <w:rPr>
                <w:rFonts w:ascii="仿宋_GB2312" w:hAnsi="仿宋" w:eastAsia="仿宋_GB2312" w:cs="宋体"/>
                <w:color w:val="000000"/>
                <w:sz w:val="28"/>
                <w:szCs w:val="28"/>
              </w:rPr>
            </w:pPr>
            <w:r>
              <w:rPr>
                <w:rFonts w:hint="eastAsia" w:ascii="仿宋_GB2312" w:hAnsi="仿宋" w:eastAsia="仿宋_GB2312" w:cs="宋体"/>
                <w:color w:val="000000"/>
                <w:sz w:val="28"/>
                <w:szCs w:val="28"/>
              </w:rPr>
              <w:t>合计（人民币）大写：*</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元整                   ￥：</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.00元</w:t>
            </w:r>
          </w:p>
        </w:tc>
      </w:tr>
    </w:tbl>
    <w:p w14:paraId="3D00C05E">
      <w:pPr>
        <w:snapToGrid w:val="0"/>
        <w:spacing w:line="460" w:lineRule="exact"/>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2、本合同价格包括合同**费、协议包含的备件、专用工具、设计费、技术资料费、技术服务费、拆除费、安装费、调试费、培训费、质保期内的维护保养费、税费及与本合同有关的所有费用。</w:t>
      </w:r>
    </w:p>
    <w:p w14:paraId="60E09B3B">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3、上述合同价格为乙方一年期的大修费，不因任何因素的改变而改变，期限为202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w:t>
      </w:r>
    </w:p>
    <w:p w14:paraId="23B01268">
      <w:pPr>
        <w:tabs>
          <w:tab w:val="left" w:pos="540"/>
        </w:tabs>
        <w:snapToGrid w:val="0"/>
        <w:spacing w:line="460" w:lineRule="exact"/>
        <w:ind w:firstLine="2797" w:firstLineChars="995"/>
        <w:rPr>
          <w:rFonts w:ascii="仿宋_GB2312" w:hAnsi="宋体" w:eastAsia="仿宋_GB2312" w:cs="宋体"/>
          <w:color w:val="000000"/>
          <w:sz w:val="28"/>
          <w:szCs w:val="28"/>
        </w:rPr>
      </w:pPr>
      <w:r>
        <w:rPr>
          <w:rFonts w:hint="eastAsia" w:ascii="仿宋_GB2312" w:hAnsi="宋体" w:eastAsia="仿宋_GB2312"/>
          <w:b/>
          <w:color w:val="000000"/>
          <w:sz w:val="28"/>
          <w:szCs w:val="28"/>
        </w:rPr>
        <w:t xml:space="preserve">条  款 4     支  付    </w:t>
      </w:r>
    </w:p>
    <w:p w14:paraId="34BEEFCE">
      <w:pPr>
        <w:spacing w:line="460" w:lineRule="exact"/>
        <w:ind w:firstLine="420" w:firstLineChars="150"/>
        <w:rPr>
          <w:rFonts w:ascii="仿宋_GB2312" w:hAnsi="宋体" w:eastAsia="仿宋_GB2312" w:cs="宋体"/>
          <w:color w:val="FF0000"/>
          <w:sz w:val="28"/>
          <w:szCs w:val="28"/>
        </w:rPr>
      </w:pPr>
      <w:r>
        <w:rPr>
          <w:rFonts w:hint="eastAsia" w:ascii="仿宋_GB2312" w:hAnsi="宋体" w:eastAsia="仿宋_GB2312" w:cs="宋体"/>
          <w:color w:val="000000"/>
          <w:sz w:val="28"/>
          <w:szCs w:val="28"/>
        </w:rPr>
        <w:t>一、 合同总价的90%（即：</w:t>
      </w:r>
      <w:r>
        <w:rPr>
          <w:rFonts w:hint="eastAsia" w:ascii="仿宋_GB2312" w:hAnsi="宋体" w:eastAsia="仿宋_GB2312" w:cs="宋体"/>
          <w:color w:val="000000"/>
          <w:sz w:val="28"/>
          <w:szCs w:val="28"/>
          <w:u w:val="single"/>
        </w:rPr>
        <w:t xml:space="preserve">￥： </w:t>
      </w:r>
      <w:r>
        <w:rPr>
          <w:rFonts w:ascii="仿宋_GB2312" w:hAnsi="宋体" w:eastAsia="仿宋_GB2312" w:cs="宋体"/>
          <w:color w:val="000000"/>
          <w:sz w:val="28"/>
          <w:szCs w:val="28"/>
          <w:u w:val="single"/>
        </w:rPr>
        <w:t>****</w:t>
      </w:r>
      <w:r>
        <w:rPr>
          <w:rFonts w:hint="eastAsia" w:ascii="仿宋_GB2312" w:hAnsi="宋体" w:eastAsia="仿宋_GB2312" w:cs="宋体"/>
          <w:color w:val="000000"/>
          <w:sz w:val="28"/>
          <w:szCs w:val="28"/>
          <w:u w:val="single"/>
        </w:rPr>
        <w:t xml:space="preserve">.00元  </w:t>
      </w:r>
      <w:r>
        <w:rPr>
          <w:rFonts w:hint="eastAsia" w:ascii="仿宋_GB2312" w:hAnsi="宋体" w:eastAsia="仿宋_GB2312" w:cs="宋体"/>
          <w:color w:val="000000"/>
          <w:sz w:val="28"/>
          <w:szCs w:val="28"/>
        </w:rPr>
        <w:t>）在达到下列全部条件完整无误后，自甲方将发票验收入账后30天内</w:t>
      </w:r>
      <w:r>
        <w:rPr>
          <w:rFonts w:hint="eastAsia" w:ascii="仿宋_GB2312" w:hAnsi="宋体" w:eastAsia="仿宋_GB2312" w:cs="宋体"/>
          <w:sz w:val="28"/>
          <w:szCs w:val="28"/>
        </w:rPr>
        <w:t>支付：</w:t>
      </w:r>
    </w:p>
    <w:p w14:paraId="1C028B61">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ascii="仿宋_GB2312" w:hAnsi="宋体" w:eastAsia="仿宋_GB2312" w:cs="宋体"/>
          <w:sz w:val="28"/>
          <w:szCs w:val="28"/>
        </w:rPr>
        <w:t>*</w:t>
      </w:r>
      <w:r>
        <w:rPr>
          <w:rFonts w:hint="eastAsia" w:ascii="仿宋_GB2312" w:hAnsi="宋体" w:eastAsia="仿宋_GB2312" w:cs="宋体"/>
          <w:sz w:val="28"/>
          <w:szCs w:val="28"/>
        </w:rPr>
        <w:t>月</w:t>
      </w:r>
      <w:r>
        <w:rPr>
          <w:rFonts w:ascii="仿宋_GB2312" w:hAnsi="宋体" w:eastAsia="仿宋_GB2312" w:cs="宋体"/>
          <w:sz w:val="28"/>
          <w:szCs w:val="28"/>
        </w:rPr>
        <w:t>***</w:t>
      </w:r>
      <w:r>
        <w:rPr>
          <w:rFonts w:hint="eastAsia" w:ascii="仿宋_GB2312" w:hAnsi="宋体" w:eastAsia="仿宋_GB2312" w:cs="宋体"/>
          <w:sz w:val="28"/>
          <w:szCs w:val="28"/>
        </w:rPr>
        <w:t>日后***达到技术协议要求的标准，由甲方出具的设备验收合格报告。</w:t>
      </w:r>
    </w:p>
    <w:p w14:paraId="28A9BE0A">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 乙方向甲方开具合同总额的增值税发票（税率为</w:t>
      </w:r>
      <w:r>
        <w:rPr>
          <w:rFonts w:ascii="仿宋_GB2312" w:hAnsi="宋体" w:eastAsia="仿宋_GB2312" w:cs="宋体"/>
          <w:sz w:val="28"/>
          <w:szCs w:val="28"/>
        </w:rPr>
        <w:t>**</w:t>
      </w:r>
      <w:r>
        <w:rPr>
          <w:rFonts w:hint="eastAsia" w:ascii="仿宋_GB2312" w:hAnsi="宋体" w:eastAsia="仿宋_GB2312" w:cs="宋体"/>
          <w:sz w:val="28"/>
          <w:szCs w:val="28"/>
        </w:rPr>
        <w:t>%，若出现税务部门不认可的发票，一切责任由乙方承担）和合同总价90%的财务收据（即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元 </w:t>
      </w:r>
      <w:r>
        <w:rPr>
          <w:rFonts w:hint="eastAsia" w:ascii="仿宋_GB2312" w:hAnsi="宋体" w:eastAsia="仿宋_GB2312" w:cs="宋体"/>
          <w:sz w:val="28"/>
          <w:szCs w:val="28"/>
        </w:rPr>
        <w:t>）。</w:t>
      </w:r>
    </w:p>
    <w:p w14:paraId="12EC4925">
      <w:pPr>
        <w:spacing w:line="460" w:lineRule="exact"/>
        <w:ind w:firstLine="420" w:firstLineChars="150"/>
        <w:rPr>
          <w:rFonts w:ascii="仿宋_GB2312" w:hAnsi="宋体" w:eastAsia="仿宋_GB2312" w:cs="宋体"/>
          <w:sz w:val="28"/>
          <w:szCs w:val="28"/>
        </w:rPr>
      </w:pPr>
      <w:r>
        <w:rPr>
          <w:rFonts w:hint="eastAsia" w:ascii="仿宋_GB2312" w:hAnsi="宋体" w:eastAsia="仿宋_GB2312" w:cs="宋体"/>
          <w:sz w:val="28"/>
          <w:szCs w:val="28"/>
        </w:rPr>
        <w:t>二、 合同总价的10%（即：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）在达到下列全部条件完整无误后，自甲方收到发票后30天内支付：</w:t>
      </w:r>
    </w:p>
    <w:p w14:paraId="0DBEDD2C">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首保结束后出具验收合格报告之日起12个月质保期结束，达到技术协议要求的标准无质量异议，由甲方出具大修质量合格报告。</w:t>
      </w:r>
    </w:p>
    <w:p w14:paraId="6E379475">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2． 乙方向甲方开具合同总价10%的财务收据（即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）甲方支付余款</w:t>
      </w:r>
      <w:r>
        <w:rPr>
          <w:rFonts w:hint="eastAsia" w:ascii="仿宋_GB2312" w:hAnsi="宋体" w:eastAsia="仿宋_GB2312" w:cs="宋体"/>
          <w:color w:val="000000"/>
          <w:sz w:val="28"/>
          <w:szCs w:val="28"/>
        </w:rPr>
        <w:t>。</w:t>
      </w:r>
    </w:p>
    <w:p w14:paraId="65474489">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3</w:t>
      </w:r>
      <w:r>
        <w:rPr>
          <w:rFonts w:hint="eastAsia" w:ascii="仿宋_GB2312" w:hAnsi="宋体" w:eastAsia="仿宋_GB2312" w:cs="宋体"/>
          <w:sz w:val="28"/>
          <w:szCs w:val="28"/>
        </w:rPr>
        <w:t>．质保期内后续大修不再办理质保手续。</w:t>
      </w:r>
    </w:p>
    <w:p w14:paraId="7A1D3BAB">
      <w:pPr>
        <w:snapToGrid w:val="0"/>
        <w:spacing w:line="100" w:lineRule="exact"/>
        <w:rPr>
          <w:rFonts w:ascii="仿宋_GB2312" w:hAnsi="仿宋" w:eastAsia="仿宋_GB2312"/>
          <w:bCs/>
          <w:color w:val="000000"/>
          <w:sz w:val="28"/>
          <w:szCs w:val="28"/>
        </w:rPr>
      </w:pPr>
    </w:p>
    <w:p w14:paraId="4E8711A5">
      <w:pPr>
        <w:snapToGrid w:val="0"/>
        <w:spacing w:line="460" w:lineRule="exact"/>
        <w:jc w:val="center"/>
        <w:rPr>
          <w:rFonts w:ascii="仿宋_GB2312" w:hAnsi="仿宋" w:eastAsia="仿宋_GB2312"/>
          <w:bCs/>
          <w:color w:val="000000"/>
          <w:sz w:val="28"/>
          <w:szCs w:val="28"/>
        </w:rPr>
      </w:pPr>
      <w:r>
        <w:rPr>
          <w:rFonts w:hint="eastAsia" w:ascii="仿宋_GB2312" w:hAnsi="宋体" w:eastAsia="仿宋_GB2312"/>
          <w:b/>
          <w:color w:val="000000"/>
          <w:sz w:val="28"/>
          <w:szCs w:val="28"/>
        </w:rPr>
        <w:t>条  款 5    大修与调试</w:t>
      </w:r>
    </w:p>
    <w:p w14:paraId="2EBCD0F7">
      <w:pPr>
        <w:snapToGrid w:val="0"/>
        <w:spacing w:line="460" w:lineRule="exact"/>
        <w:ind w:firstLine="688" w:firstLineChars="246"/>
        <w:rPr>
          <w:rFonts w:ascii="仿宋_GB2312" w:hAnsi="仿宋" w:eastAsia="仿宋_GB2312"/>
          <w:bCs/>
          <w:color w:val="000000"/>
          <w:sz w:val="28"/>
          <w:szCs w:val="28"/>
        </w:rPr>
      </w:pPr>
      <w:r>
        <w:rPr>
          <w:rFonts w:hint="eastAsia" w:ascii="仿宋_GB2312" w:hAnsi="仿宋" w:eastAsia="仿宋_GB2312"/>
          <w:bCs/>
          <w:color w:val="000000"/>
          <w:sz w:val="28"/>
          <w:szCs w:val="28"/>
        </w:rPr>
        <w:t>1、乙方应指派力量充足技术熟练的技术人员到甲方现场负责对本合同的项目进行维修保养，并负责调试和对甲方人员进行操作及维修的技术培训。</w:t>
      </w:r>
    </w:p>
    <w:p w14:paraId="1CA96E65">
      <w:pPr>
        <w:snapToGrid w:val="0"/>
        <w:spacing w:line="460" w:lineRule="exact"/>
        <w:ind w:firstLine="688" w:firstLineChars="246"/>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w:t>
      </w:r>
      <w:r>
        <w:rPr>
          <w:rFonts w:hint="eastAsia" w:ascii="仿宋_GB2312" w:hAnsi="仿宋" w:eastAsia="仿宋_GB2312"/>
          <w:bCs/>
          <w:color w:val="000000"/>
          <w:spacing w:val="-20"/>
          <w:sz w:val="28"/>
          <w:szCs w:val="28"/>
        </w:rPr>
        <w:t>在大修过程中甲方应积极配合并提供一切有利于工程进度的方便。</w:t>
      </w:r>
    </w:p>
    <w:p w14:paraId="2AFCEA4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6   技术要求</w:t>
      </w:r>
    </w:p>
    <w:p w14:paraId="43B4EB4E">
      <w:pPr>
        <w:snapToGrid w:val="0"/>
        <w:spacing w:line="46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按照合同所附技术协议书执行（附后）。</w:t>
      </w:r>
    </w:p>
    <w:p w14:paraId="0EB3E1AF">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7   质量保证</w:t>
      </w:r>
    </w:p>
    <w:p w14:paraId="25E5C1F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乙方应保证其提供的大修及检测采用的是技术协议中规定的最佳材料和第一流的工艺，并在各个方面符合技术协议的质量、规格和性能要求。乙方应保证设备经过正确维护保养，在质量保证期内运转良好。在规定的质量保证期内，乙方应对由于大修服务设计、工艺技术和技术协议包含备件的缺陷而造成的任何缺陷或故障负责。出现上述情况，乙方应在收到甲方通知后3天内，免费负责修理或更换有缺陷的零部件或整机，并承担产生的所有费用，并赔偿因此给甲方造成的损失。如果在大修阶段由于乙方技术人员指导失误或乙方所供技术资料、图纸、名称、规格型号的错误、设备出现缺陷或损坏等事宜，乙方应免费负责修理或更换有缺陷的零部件或整机，乙方承担修补或更换部件及装运的全部费用，质保期相应的顺延。质保期外，大修项目出现质量问题，若确系设计、技术协议包含备件原因造成的，乙方应在24小时内免费处理，所需费用由乙方负担。</w:t>
      </w:r>
    </w:p>
    <w:p w14:paraId="7A4E7D2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2、合同项下大修及检测的质量保证期为自</w:t>
      </w:r>
      <w:r>
        <w:rPr>
          <w:rFonts w:hint="eastAsia" w:ascii="仿宋_GB2312" w:hAnsi="宋体" w:eastAsia="仿宋_GB2312"/>
          <w:sz w:val="28"/>
          <w:szCs w:val="28"/>
        </w:rPr>
        <w:t>首保合格出具验收合格证明之日起</w:t>
      </w:r>
      <w:r>
        <w:rPr>
          <w:rFonts w:hint="eastAsia" w:ascii="仿宋_GB2312" w:hAnsi="宋体" w:eastAsia="仿宋_GB2312"/>
          <w:bCs/>
          <w:sz w:val="28"/>
          <w:szCs w:val="28"/>
        </w:rPr>
        <w:t>12个月，乙方质保责任包含但不限于首保，应对合同期内及质保期内所有大修服务承担责任。</w:t>
      </w:r>
    </w:p>
    <w:p w14:paraId="30239D34">
      <w:pPr>
        <w:snapToGrid w:val="0"/>
        <w:spacing w:line="460" w:lineRule="exact"/>
        <w:ind w:firstLine="532" w:firstLineChars="190"/>
        <w:rPr>
          <w:rFonts w:ascii="仿宋_GB2312" w:hAnsi="宋体" w:eastAsia="仿宋_GB2312"/>
          <w:bCs/>
          <w:color w:val="000000"/>
          <w:sz w:val="28"/>
          <w:szCs w:val="28"/>
        </w:rPr>
      </w:pPr>
      <w:r>
        <w:rPr>
          <w:rFonts w:hint="eastAsia" w:ascii="仿宋_GB2312" w:hAnsi="宋体" w:eastAsia="仿宋_GB2312"/>
          <w:bCs/>
          <w:color w:val="000000"/>
          <w:sz w:val="28"/>
          <w:szCs w:val="28"/>
        </w:rPr>
        <w:t>3、乙方大修及检测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设备仍无法达到技术规范要求，双方协商，甲方有权自行处理并不承担任何责任，同时乙方应退还甲方付给乙方的所有款项，且赔偿由此给甲方造成的所有损失，并向甲方支付合同总额20%的违约金。若经协商甲方同意接受，每一项与技术附件</w:t>
      </w:r>
      <w:r>
        <w:rPr>
          <w:rFonts w:hint="eastAsia" w:ascii="仿宋_GB2312" w:hAnsi="宋体" w:eastAsia="仿宋_GB2312"/>
          <w:bCs/>
          <w:color w:val="000000"/>
          <w:spacing w:val="-20"/>
          <w:sz w:val="28"/>
          <w:szCs w:val="28"/>
        </w:rPr>
        <w:t>中指标要求不符的内容，由乙方向甲方支付合同总额的0.5%作为违约金。</w:t>
      </w:r>
    </w:p>
    <w:p w14:paraId="6152A689">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应保证大修服务不会引起任何第三方提出的侵权赔偿，如果出现第三方针对甲方使用乙方按照本合同提供的合同设备和技术文件的侵权诉讼，乙方应有独立的权利和责任自费辩护和解决这些问题，甲方不承担任何法律和经济责任。甲方应向乙方提供诉讼方面的必要信息。如给甲方造成损失，乙方应全额赔偿甲方的损失。</w:t>
      </w:r>
    </w:p>
    <w:p w14:paraId="3ACBBD05">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w:t>
      </w:r>
      <w:r>
        <w:rPr>
          <w:rFonts w:hint="eastAsia" w:ascii="仿宋_GB2312" w:eastAsia="仿宋_GB2312"/>
          <w:bCs/>
          <w:sz w:val="28"/>
          <w:szCs w:val="28"/>
        </w:rPr>
        <w:t>乙方保证大修符合本合同《技术协议》的规定。</w:t>
      </w:r>
    </w:p>
    <w:p w14:paraId="351F4E32">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6、乙方应保证所提供的技术资料必须是及时的、完整的、正确的，且能满足大修的调试、操作要求。</w:t>
      </w:r>
    </w:p>
    <w:p w14:paraId="0D07A4CA">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7、乙方保证协议中所规定的包含的备件，未经甲方书面同意，不得更改。选购的元器件应符合现行通用标准。</w:t>
      </w:r>
    </w:p>
    <w:p w14:paraId="79499DF0">
      <w:pPr>
        <w:snapToGrid w:val="0"/>
        <w:spacing w:line="100" w:lineRule="exact"/>
        <w:rPr>
          <w:rFonts w:ascii="仿宋_GB2312" w:hAnsi="宋体" w:eastAsia="仿宋_GB2312"/>
          <w:sz w:val="28"/>
          <w:szCs w:val="28"/>
        </w:rPr>
      </w:pPr>
    </w:p>
    <w:p w14:paraId="183D081C">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8   索  赔</w:t>
      </w:r>
    </w:p>
    <w:p w14:paraId="786CE0D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如果由于乙方责任，甲方提出索赔应及时通知乙方，乙方若有异议，在收到索赔通知单14天内提出复议，双方就此再次谈判。如果乙方在收到索赔通知后30天内未能予以答复，该索赔应视为已被乙方接受。若乙方未能在收到索赔通知后30天内或甲方同意的更长一些的时间内，按甲方同意的处理方式处理索赔事宜，甲方将从未付款中扣回索赔金额，同时保留进一步要求赔偿的权利。</w:t>
      </w:r>
    </w:p>
    <w:p w14:paraId="03FA09E0">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2、如属甲方使用不当造成损坏，乙方也有义务予以处理，备件费用由甲方承担。</w:t>
      </w:r>
    </w:p>
    <w:p w14:paraId="2A59765F">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3、因乙方大修问题造成事故的，所有责任由乙方承担，给甲方造成损失的，乙方应当赔偿。。</w:t>
      </w:r>
    </w:p>
    <w:p w14:paraId="451EE37E">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4D0A2F7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5、乙方向甲方开具</w:t>
      </w:r>
      <w:r>
        <w:rPr>
          <w:rFonts w:ascii="仿宋_GB2312" w:hAnsi="宋体" w:eastAsia="仿宋_GB2312"/>
          <w:bCs/>
          <w:sz w:val="28"/>
          <w:szCs w:val="28"/>
        </w:rPr>
        <w:t>**</w:t>
      </w:r>
      <w:r>
        <w:rPr>
          <w:rFonts w:hint="eastAsia" w:ascii="仿宋_GB2312" w:hAnsi="宋体" w:eastAsia="仿宋_GB2312"/>
          <w:bCs/>
          <w:sz w:val="28"/>
          <w:szCs w:val="28"/>
        </w:rPr>
        <w:t>%的增值税发票，若出现税务部门不认可的情况，乙方应在接到甲方通知之日起7个工作日内予以更换，否则须向甲方支付合同总价20%的违约金，违约金可直接从未付款中扣除。</w:t>
      </w:r>
    </w:p>
    <w:p w14:paraId="1ACBC82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6、如果乙方未能按甲方通知的时间进行大修（不可抗力除外），在乙方同意支付核定损失额的条件下，甲方将同意延长交货期。核定损失额的支付将从未付款项中扣除。核定损失额比率为每逾期1天，按设备大修费用的0.5%计算，不满1天按1天计算，但是，核定损失额的支付不得超过迟交货物金额的10%。如果卖方在达到核定损失额的最高限额后仍不能大修，买方有权因乙方违约终止合同，而乙方仍有义务支付上述迟交核定损失金额。</w:t>
      </w:r>
    </w:p>
    <w:p w14:paraId="16C9D3BD">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2、若乙方延迟大修对买方造成严重影响，或因乙方的延迟导致甲方不需乙方大修，买方有权视具体情况解除部分或全部合同，卖方应向买</w:t>
      </w:r>
      <w:r>
        <w:rPr>
          <w:rFonts w:hint="eastAsia" w:ascii="仿宋_GB2312" w:hAnsi="宋体" w:eastAsia="仿宋_GB2312"/>
          <w:bCs/>
          <w:spacing w:val="-20"/>
          <w:sz w:val="28"/>
          <w:szCs w:val="28"/>
        </w:rPr>
        <w:t>方支付合同总金额10%的延迟大修违约金，并赔偿由此给甲方造成的损失</w:t>
      </w:r>
      <w:r>
        <w:rPr>
          <w:rFonts w:hint="eastAsia" w:ascii="仿宋_GB2312" w:hAnsi="宋体" w:eastAsia="仿宋_GB2312"/>
          <w:bCs/>
          <w:sz w:val="28"/>
          <w:szCs w:val="28"/>
        </w:rPr>
        <w:t>。</w:t>
      </w:r>
    </w:p>
    <w:p w14:paraId="57CCB826">
      <w:pPr>
        <w:snapToGrid w:val="0"/>
        <w:spacing w:line="100" w:lineRule="exact"/>
        <w:ind w:left="-2" w:leftChars="-1" w:firstLine="560" w:firstLineChars="200"/>
        <w:rPr>
          <w:rFonts w:ascii="仿宋_GB2312" w:hAnsi="宋体" w:eastAsia="仿宋_GB2312"/>
          <w:bCs/>
          <w:sz w:val="28"/>
          <w:szCs w:val="28"/>
        </w:rPr>
      </w:pPr>
    </w:p>
    <w:p w14:paraId="63C17660">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9   不可抗力</w:t>
      </w:r>
    </w:p>
    <w:p w14:paraId="0FE72249">
      <w:pPr>
        <w:snapToGrid w:val="0"/>
        <w:spacing w:line="460" w:lineRule="exact"/>
        <w:ind w:firstLine="560" w:firstLineChars="200"/>
        <w:rPr>
          <w:rFonts w:ascii="仿宋_GB2312" w:hAnsi="宋体" w:eastAsia="仿宋_GB2312"/>
          <w:bCs/>
          <w:spacing w:val="-20"/>
          <w:sz w:val="28"/>
          <w:szCs w:val="28"/>
        </w:rPr>
      </w:pPr>
      <w:r>
        <w:rPr>
          <w:rFonts w:hint="eastAsia" w:ascii="仿宋_GB2312" w:hAnsi="宋体" w:eastAsia="仿宋_GB2312"/>
          <w:bCs/>
          <w:sz w:val="28"/>
          <w:szCs w:val="28"/>
        </w:rPr>
        <w:t>1、签约双方任一方由于受不可抗力事件的影响而不能执行合同时，履行合同的期限应予以延长，其延长的期限应相当于事件所影响的时间。不可抗力事件系指甲乙双方在执行本合同中任何一方</w:t>
      </w:r>
      <w:r>
        <w:rPr>
          <w:rFonts w:hint="eastAsia" w:ascii="仿宋_GB2312" w:hAnsi="宋体" w:eastAsia="仿宋_GB2312"/>
          <w:bCs/>
          <w:spacing w:val="-20"/>
          <w:sz w:val="28"/>
          <w:szCs w:val="28"/>
        </w:rPr>
        <w:t>不能控制和不能预见的，诸如战争、严重火灾、洪水、台风、地震等。</w:t>
      </w:r>
    </w:p>
    <w:p w14:paraId="311B031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4526883">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10   合同争议解决的方式</w:t>
      </w:r>
    </w:p>
    <w:p w14:paraId="18805DA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1、凡与本合同有关而引起的一切争议，双方应首先通过友好协商解决，如经协商后仍不能达成协议时，双方选择向合同签订地人民法院提出诉讼解决争议。</w:t>
      </w:r>
    </w:p>
    <w:p w14:paraId="0F95B77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2、由上述过程发生的费用除法院判决另有规定外，应由败诉方承担。</w:t>
      </w:r>
    </w:p>
    <w:p w14:paraId="7DAB59D7">
      <w:pPr>
        <w:snapToGrid w:val="0"/>
        <w:spacing w:line="460" w:lineRule="exact"/>
        <w:ind w:firstLine="504" w:firstLineChars="180"/>
        <w:rPr>
          <w:rFonts w:ascii="仿宋_GB2312" w:hAnsi="仿宋" w:eastAsia="仿宋_GB2312"/>
          <w:bCs/>
          <w:color w:val="000000"/>
          <w:sz w:val="28"/>
          <w:szCs w:val="28"/>
        </w:rPr>
      </w:pPr>
      <w:r>
        <w:rPr>
          <w:rFonts w:hint="eastAsia" w:ascii="仿宋_GB2312" w:hAnsi="仿宋" w:eastAsia="仿宋_GB2312"/>
          <w:bCs/>
          <w:color w:val="000000"/>
          <w:sz w:val="28"/>
          <w:szCs w:val="28"/>
        </w:rPr>
        <w:t>3、在进行法院审理期间，除法院审理的部分外，合同其他部分仍应继续履行。</w:t>
      </w:r>
    </w:p>
    <w:p w14:paraId="31A28D9C">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11   适用法律</w:t>
      </w:r>
    </w:p>
    <w:p w14:paraId="441F60EE">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本合同应按中华人民共和国《民法典》及相关法律解释。</w:t>
      </w:r>
    </w:p>
    <w:p w14:paraId="02D65A57">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12    通知</w:t>
      </w:r>
    </w:p>
    <w:p w14:paraId="745460D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合同任何一方给另一方的通知都应以书面的形式发送，而另一方应以书面形式确认并发送到对方明确的地址。</w:t>
      </w:r>
    </w:p>
    <w:p w14:paraId="641422E0">
      <w:pPr>
        <w:snapToGrid w:val="0"/>
        <w:spacing w:line="100" w:lineRule="exact"/>
        <w:rPr>
          <w:rFonts w:ascii="仿宋_GB2312" w:hAnsi="宋体" w:eastAsia="仿宋_GB2312"/>
          <w:b/>
          <w:color w:val="000000"/>
          <w:sz w:val="28"/>
          <w:szCs w:val="28"/>
        </w:rPr>
      </w:pPr>
    </w:p>
    <w:p w14:paraId="738AC536">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13   合同生效</w:t>
      </w:r>
    </w:p>
    <w:p w14:paraId="2DBCA0A7">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1、本合同自双方签字盖章之日起生效，至双方履行完各自义务索赔完毕时终止。</w:t>
      </w:r>
    </w:p>
    <w:p w14:paraId="386C0035">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2、本合同一式八份，甲方执六份，乙方执二份。</w:t>
      </w:r>
    </w:p>
    <w:p w14:paraId="2250CD6B">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14    其它约定事项</w:t>
      </w:r>
    </w:p>
    <w:p w14:paraId="10E5456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1、合同所附技术协议书，与本合同具有同等法律效力。</w:t>
      </w:r>
    </w:p>
    <w:p w14:paraId="46A38D54">
      <w:pPr>
        <w:snapToGrid w:val="0"/>
        <w:spacing w:line="460" w:lineRule="exact"/>
        <w:ind w:firstLine="560" w:firstLineChars="200"/>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2、未</w:t>
      </w:r>
      <w:r>
        <w:rPr>
          <w:rFonts w:hint="eastAsia" w:ascii="仿宋_GB2312" w:hAnsi="仿宋" w:eastAsia="仿宋_GB2312"/>
          <w:bCs/>
          <w:color w:val="000000"/>
          <w:spacing w:val="-20"/>
          <w:sz w:val="28"/>
          <w:szCs w:val="28"/>
        </w:rPr>
        <w:t>经甲方书面同意，乙方不得将本合同权利义务转让给第三方。</w:t>
      </w:r>
    </w:p>
    <w:p w14:paraId="0B71A95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3、乙方大修、安装、调试人员应遵守甲方现场的各项规章制度并作好自我的安全防护措施，若由于自身原因造成不安全事件发生，一切责任由乙方承担。</w:t>
      </w:r>
    </w:p>
    <w:p w14:paraId="227AD9B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4、如果乙方破产或无清偿能力时，甲方可在任何时候以书面通知乙方终止合同。该终止合同将不损害或影响甲方已经采取或将要采取的补救措施的权利。</w:t>
      </w:r>
    </w:p>
    <w:p w14:paraId="5DFFB452">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5、在合同执行过程中,若出现商务合同与技术协议有冲突的情况,以本合同为执行标准.本合同未涉及的部分,以技术协议为执行标准。</w:t>
      </w:r>
    </w:p>
    <w:p w14:paraId="35B5A261">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6、乙方负责大修调试至满足技术协议及甲方使用要求。</w:t>
      </w:r>
    </w:p>
    <w:p w14:paraId="14232EFE">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7、未尽事宜，双方可签订补充协议。 </w:t>
      </w:r>
    </w:p>
    <w:p w14:paraId="4E05EAC5">
      <w:pPr>
        <w:snapToGrid w:val="0"/>
        <w:spacing w:line="460" w:lineRule="exact"/>
        <w:ind w:firstLine="422" w:firstLineChars="150"/>
        <w:rPr>
          <w:rFonts w:ascii="仿宋_GB2312" w:hAnsi="仿宋" w:eastAsia="仿宋_GB2312"/>
          <w:b/>
          <w:sz w:val="28"/>
          <w:szCs w:val="28"/>
        </w:rPr>
      </w:pP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5175"/>
      </w:tblGrid>
      <w:tr w14:paraId="1F1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4487" w:type="dxa"/>
          </w:tcPr>
          <w:p w14:paraId="24CE924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甲方：*</w:t>
            </w:r>
            <w:r>
              <w:rPr>
                <w:rFonts w:ascii="仿宋" w:hAnsi="仿宋" w:eastAsia="仿宋" w:cs="仿宋"/>
                <w:bCs/>
                <w:sz w:val="28"/>
                <w:szCs w:val="28"/>
              </w:rPr>
              <w:t>************</w:t>
            </w:r>
            <w:r>
              <w:rPr>
                <w:rFonts w:hint="eastAsia" w:ascii="仿宋" w:hAnsi="仿宋" w:eastAsia="仿宋" w:cs="仿宋"/>
                <w:bCs/>
                <w:sz w:val="28"/>
                <w:szCs w:val="28"/>
              </w:rPr>
              <w:t>公司</w:t>
            </w:r>
          </w:p>
          <w:p w14:paraId="23CD8222">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地址：新安产业集聚区</w:t>
            </w:r>
          </w:p>
          <w:p w14:paraId="1E0626E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p>
          <w:p w14:paraId="6D0E0EA7">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开户行： </w:t>
            </w:r>
          </w:p>
          <w:p w14:paraId="4F550E1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账号：</w:t>
            </w:r>
          </w:p>
          <w:p w14:paraId="0D0B225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税号： </w:t>
            </w:r>
          </w:p>
          <w:p w14:paraId="7F301E3E">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c>
          <w:tcPr>
            <w:tcW w:w="5175" w:type="dxa"/>
          </w:tcPr>
          <w:p w14:paraId="74051FCA">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乙方：*</w:t>
            </w:r>
            <w:r>
              <w:rPr>
                <w:rFonts w:ascii="仿宋" w:hAnsi="仿宋" w:eastAsia="仿宋" w:cs="仿宋"/>
                <w:bCs/>
                <w:sz w:val="28"/>
                <w:szCs w:val="28"/>
              </w:rPr>
              <w:t>*********</w:t>
            </w:r>
            <w:r>
              <w:rPr>
                <w:rFonts w:hint="eastAsia" w:ascii="仿宋" w:hAnsi="仿宋" w:eastAsia="仿宋" w:cs="仿宋"/>
                <w:bCs/>
                <w:sz w:val="28"/>
                <w:szCs w:val="28"/>
              </w:rPr>
              <w:t xml:space="preserve">备有限公司      </w:t>
            </w:r>
          </w:p>
          <w:p w14:paraId="03A17E8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w:t>
            </w:r>
            <w:r>
              <w:rPr>
                <w:rFonts w:ascii="仿宋" w:hAnsi="仿宋" w:eastAsia="仿宋" w:cs="仿宋"/>
                <w:bCs/>
                <w:sz w:val="28"/>
                <w:szCs w:val="28"/>
              </w:rPr>
              <w:t>**********</w:t>
            </w:r>
          </w:p>
          <w:p w14:paraId="6580859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r>
              <w:rPr>
                <w:rFonts w:ascii="仿宋" w:hAnsi="仿宋" w:eastAsia="仿宋" w:cs="仿宋"/>
                <w:bCs/>
                <w:sz w:val="28"/>
                <w:szCs w:val="28"/>
              </w:rPr>
              <w:t>*****</w:t>
            </w:r>
            <w:r>
              <w:rPr>
                <w:rFonts w:hint="eastAsia" w:ascii="仿宋" w:hAnsi="仿宋" w:eastAsia="仿宋" w:cs="仿宋"/>
                <w:bCs/>
                <w:sz w:val="28"/>
                <w:szCs w:val="28"/>
              </w:rPr>
              <w:t xml:space="preserve">             </w:t>
            </w:r>
          </w:p>
          <w:p w14:paraId="0E90FB2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开户行：</w:t>
            </w:r>
          </w:p>
          <w:p w14:paraId="6B00853F">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帐号：</w:t>
            </w:r>
          </w:p>
          <w:p w14:paraId="0E04BFEB">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税号：</w:t>
            </w:r>
          </w:p>
          <w:p w14:paraId="674361ED">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r>
    </w:tbl>
    <w:p w14:paraId="5DC3BBF3">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58"/>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3112079F">
      <w:pPr>
        <w:spacing w:line="460" w:lineRule="exact"/>
        <w:rPr>
          <w:rFonts w:hint="eastAsia" w:ascii="仿宋" w:hAnsi="仿宋" w:eastAsia="仿宋"/>
          <w:sz w:val="28"/>
          <w:szCs w:val="28"/>
        </w:rPr>
      </w:pPr>
    </w:p>
    <w:p w14:paraId="57D77A2C">
      <w:pPr>
        <w:spacing w:line="460" w:lineRule="exact"/>
        <w:rPr>
          <w:rFonts w:hint="eastAsia" w:ascii="仿宋" w:hAnsi="仿宋" w:eastAsia="仿宋"/>
          <w:sz w:val="28"/>
          <w:szCs w:val="28"/>
        </w:rPr>
      </w:pPr>
    </w:p>
    <w:p w14:paraId="152C6FF3">
      <w:pPr>
        <w:spacing w:line="460" w:lineRule="exact"/>
        <w:rPr>
          <w:rFonts w:hint="eastAsia"/>
          <w:lang w:val="en-US" w:eastAsia="zh-CN"/>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bookmarkStart w:id="2" w:name="_Toc472454500"/>
      <w:bookmarkStart w:id="3" w:name="_Toc468785718"/>
    </w:p>
    <w:bookmarkEnd w:id="2"/>
    <w:bookmarkEnd w:id="3"/>
    <w:p w14:paraId="62A0A7AA">
      <w:pPr>
        <w:widowControl w:val="0"/>
        <w:snapToGrid/>
        <w:spacing w:after="0" w:line="360" w:lineRule="auto"/>
        <w:jc w:val="both"/>
        <w:textAlignment w:val="baseline"/>
        <w:rPr>
          <w:rFonts w:ascii="宋体" w:hAnsi="Times New Roman" w:eastAsia="宋体" w:cs="Times New Roman"/>
          <w:b/>
          <w:color w:val="auto"/>
          <w:sz w:val="44"/>
          <w:szCs w:val="44"/>
          <w:highlight w:val="none"/>
        </w:rPr>
      </w:pPr>
    </w:p>
    <w:p w14:paraId="0A5B25FA">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0CE9EEC1">
      <w:pPr>
        <w:widowControl w:val="0"/>
        <w:snapToGrid/>
        <w:spacing w:after="0" w:line="360" w:lineRule="auto"/>
        <w:jc w:val="both"/>
        <w:textAlignment w:val="baseline"/>
        <w:rPr>
          <w:rFonts w:ascii="宋体" w:hAnsi="Times New Roman" w:eastAsia="宋体" w:cs="Times New Roman"/>
          <w:b/>
          <w:color w:val="auto"/>
          <w:sz w:val="44"/>
          <w:szCs w:val="44"/>
          <w:highlight w:val="none"/>
        </w:rPr>
      </w:pPr>
    </w:p>
    <w:p w14:paraId="14CFF4FA">
      <w:pPr>
        <w:widowControl w:val="0"/>
        <w:snapToGrid/>
        <w:spacing w:after="0" w:line="360" w:lineRule="auto"/>
        <w:jc w:val="center"/>
        <w:textAlignment w:val="baseline"/>
        <w:rPr>
          <w:rFonts w:ascii="宋体" w:hAnsi="Times New Roman" w:eastAsia="宋体" w:cs="Times New Roman"/>
          <w:b/>
          <w:color w:val="auto"/>
          <w:sz w:val="44"/>
          <w:szCs w:val="44"/>
          <w:highlight w:val="none"/>
        </w:rPr>
      </w:pPr>
      <w:r>
        <w:rPr>
          <w:rFonts w:ascii="宋体" w:hAnsi="Times New Roman" w:eastAsia="宋体" w:cs="Times New Roman"/>
          <w:b/>
          <w:color w:val="auto"/>
          <w:sz w:val="44"/>
          <w:szCs w:val="44"/>
          <w:highlight w:val="none"/>
        </w:rPr>
        <w:t>洛阳万基宏远电力有限公司</w:t>
      </w:r>
    </w:p>
    <w:p w14:paraId="0CF3EF6E">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4C0497E7">
      <w:pPr>
        <w:widowControl w:val="0"/>
        <w:snapToGrid/>
        <w:spacing w:after="0" w:line="360" w:lineRule="auto"/>
        <w:jc w:val="center"/>
        <w:textAlignment w:val="baseline"/>
        <w:rPr>
          <w:rFonts w:ascii="宋体" w:hAnsi="Times New Roman" w:eastAsia="宋体" w:cs="Times New Roman"/>
          <w:b/>
          <w:color w:val="auto"/>
          <w:sz w:val="44"/>
          <w:szCs w:val="44"/>
          <w:highlight w:val="none"/>
        </w:rPr>
      </w:pPr>
      <w:r>
        <w:rPr>
          <w:rFonts w:hint="eastAsia" w:ascii="宋体" w:hAnsi="Times New Roman" w:eastAsia="宋体" w:cs="Times New Roman"/>
          <w:b/>
          <w:color w:val="auto"/>
          <w:sz w:val="44"/>
          <w:szCs w:val="44"/>
          <w:highlight w:val="none"/>
        </w:rPr>
        <w:t>#2机组锅炉壁温系统升级</w:t>
      </w:r>
    </w:p>
    <w:p w14:paraId="2D035F0F">
      <w:pPr>
        <w:widowControl w:val="0"/>
        <w:snapToGrid/>
        <w:spacing w:after="0" w:line="360" w:lineRule="auto"/>
        <w:jc w:val="center"/>
        <w:textAlignment w:val="baseline"/>
        <w:rPr>
          <w:rFonts w:ascii="宋体" w:hAnsi="Times New Roman" w:eastAsia="宋体" w:cs="Times New Roman"/>
          <w:b/>
          <w:color w:val="auto"/>
          <w:sz w:val="44"/>
          <w:szCs w:val="44"/>
          <w:highlight w:val="none"/>
        </w:rPr>
      </w:pPr>
      <w:r>
        <w:rPr>
          <w:rFonts w:ascii="宋体" w:hAnsi="Times New Roman" w:eastAsia="宋体" w:cs="Times New Roman"/>
          <w:b/>
          <w:color w:val="auto"/>
          <w:sz w:val="44"/>
          <w:szCs w:val="44"/>
          <w:highlight w:val="none"/>
        </w:rPr>
        <w:t>招标</w:t>
      </w:r>
      <w:r>
        <w:rPr>
          <w:rFonts w:hint="eastAsia" w:ascii="宋体" w:hAnsi="Times New Roman" w:eastAsia="宋体" w:cs="Times New Roman"/>
          <w:b/>
          <w:color w:val="auto"/>
          <w:sz w:val="44"/>
          <w:szCs w:val="44"/>
          <w:highlight w:val="none"/>
        </w:rPr>
        <w:t>技术规范书</w:t>
      </w:r>
    </w:p>
    <w:p w14:paraId="596191DE">
      <w:pPr>
        <w:spacing w:line="360" w:lineRule="auto"/>
        <w:rPr>
          <w:color w:val="auto"/>
          <w:sz w:val="36"/>
          <w:highlight w:val="none"/>
        </w:rPr>
      </w:pPr>
    </w:p>
    <w:p w14:paraId="70ABEDEB">
      <w:pPr>
        <w:pStyle w:val="66"/>
      </w:pPr>
    </w:p>
    <w:p w14:paraId="2BD88AA1">
      <w:pPr>
        <w:tabs>
          <w:tab w:val="left" w:pos="5310"/>
        </w:tabs>
        <w:spacing w:line="360" w:lineRule="auto"/>
        <w:rPr>
          <w:color w:val="auto"/>
          <w:sz w:val="36"/>
          <w:highlight w:val="none"/>
        </w:rPr>
      </w:pPr>
    </w:p>
    <w:p w14:paraId="4A2DCE13">
      <w:pPr>
        <w:tabs>
          <w:tab w:val="left" w:pos="5310"/>
        </w:tabs>
        <w:spacing w:line="360" w:lineRule="auto"/>
        <w:rPr>
          <w:color w:val="auto"/>
          <w:sz w:val="36"/>
          <w:highlight w:val="none"/>
        </w:rPr>
      </w:pPr>
    </w:p>
    <w:p w14:paraId="750E9675">
      <w:pPr>
        <w:tabs>
          <w:tab w:val="left" w:pos="5310"/>
        </w:tabs>
        <w:spacing w:line="360" w:lineRule="auto"/>
        <w:rPr>
          <w:color w:val="auto"/>
          <w:sz w:val="36"/>
          <w:highlight w:val="none"/>
        </w:rPr>
      </w:pPr>
    </w:p>
    <w:p w14:paraId="3A335153">
      <w:pPr>
        <w:spacing w:line="360" w:lineRule="auto"/>
        <w:jc w:val="center"/>
        <w:rPr>
          <w:color w:val="auto"/>
          <w:sz w:val="30"/>
          <w:szCs w:val="30"/>
          <w:highlight w:val="none"/>
        </w:rPr>
      </w:pPr>
      <w:r>
        <w:rPr>
          <w:color w:val="auto"/>
          <w:sz w:val="30"/>
          <w:szCs w:val="30"/>
          <w:highlight w:val="none"/>
        </w:rPr>
        <w:t>招标人：洛阳万基宏远电力有限公司</w:t>
      </w:r>
    </w:p>
    <w:p w14:paraId="0DA8E0D7">
      <w:pPr>
        <w:spacing w:line="360" w:lineRule="auto"/>
        <w:jc w:val="center"/>
        <w:rPr>
          <w:rFonts w:hint="default" w:eastAsia="微软雅黑"/>
          <w:color w:val="auto"/>
          <w:sz w:val="30"/>
          <w:szCs w:val="30"/>
          <w:highlight w:val="none"/>
          <w:lang w:val="en-US" w:eastAsia="zh-CN"/>
        </w:rPr>
      </w:pPr>
      <w:r>
        <w:rPr>
          <w:color w:val="auto"/>
          <w:sz w:val="30"/>
          <w:szCs w:val="30"/>
          <w:highlight w:val="none"/>
        </w:rPr>
        <w:t>202</w:t>
      </w:r>
      <w:r>
        <w:rPr>
          <w:rFonts w:hint="eastAsia"/>
          <w:color w:val="auto"/>
          <w:sz w:val="30"/>
          <w:szCs w:val="30"/>
          <w:highlight w:val="none"/>
        </w:rPr>
        <w:t>6</w:t>
      </w:r>
      <w:r>
        <w:rPr>
          <w:color w:val="auto"/>
          <w:sz w:val="30"/>
          <w:szCs w:val="30"/>
          <w:highlight w:val="none"/>
        </w:rPr>
        <w:t>-0</w:t>
      </w:r>
      <w:r>
        <w:rPr>
          <w:rFonts w:hint="eastAsia"/>
          <w:color w:val="auto"/>
          <w:sz w:val="30"/>
          <w:szCs w:val="30"/>
          <w:highlight w:val="none"/>
          <w:lang w:val="en-US" w:eastAsia="zh-CN"/>
        </w:rPr>
        <w:t>3</w:t>
      </w:r>
      <w:r>
        <w:rPr>
          <w:color w:val="auto"/>
          <w:sz w:val="30"/>
          <w:szCs w:val="30"/>
          <w:highlight w:val="none"/>
        </w:rPr>
        <w:t>-2</w:t>
      </w:r>
      <w:r>
        <w:rPr>
          <w:rFonts w:hint="eastAsia"/>
          <w:color w:val="auto"/>
          <w:sz w:val="30"/>
          <w:szCs w:val="30"/>
          <w:highlight w:val="none"/>
          <w:lang w:val="en-US" w:eastAsia="zh-CN"/>
        </w:rPr>
        <w:t>8</w:t>
      </w:r>
    </w:p>
    <w:p w14:paraId="2D709983">
      <w:pPr>
        <w:pStyle w:val="32"/>
        <w:spacing w:line="360" w:lineRule="auto"/>
        <w:ind w:left="99" w:leftChars="47"/>
        <w:jc w:val="center"/>
        <w:rPr>
          <w:rFonts w:eastAsia="楷体_GB2312"/>
          <w:color w:val="auto"/>
          <w:spacing w:val="30"/>
          <w:sz w:val="36"/>
          <w:szCs w:val="36"/>
          <w:highlight w:val="none"/>
        </w:rPr>
        <w:sectPr>
          <w:footerReference r:id="rId6" w:type="first"/>
          <w:footerReference r:id="rId4" w:type="default"/>
          <w:headerReference r:id="rId3" w:type="even"/>
          <w:footerReference r:id="rId5" w:type="even"/>
          <w:pgSz w:w="11907" w:h="16840"/>
          <w:pgMar w:top="1429" w:right="1418" w:bottom="1429" w:left="1389" w:header="680" w:footer="1304" w:gutter="0"/>
          <w:pgNumType w:start="0"/>
          <w:cols w:space="720" w:num="1"/>
          <w:titlePg/>
          <w:docGrid w:linePitch="285" w:charSpace="0"/>
        </w:sectPr>
      </w:pPr>
    </w:p>
    <w:p w14:paraId="0363F0A0">
      <w:pPr>
        <w:keepNext/>
        <w:keepLines/>
        <w:widowControl w:val="0"/>
        <w:spacing w:after="0" w:line="360" w:lineRule="auto"/>
        <w:jc w:val="both"/>
        <w:textAlignment w:val="baseline"/>
        <w:outlineLvl w:val="1"/>
        <w:rPr>
          <w:rFonts w:ascii="宋体" w:hAnsi="宋体" w:eastAsia="宋体" w:cs="Times New Roman"/>
          <w:bCs/>
          <w:color w:val="auto"/>
          <w:kern w:val="44"/>
          <w:sz w:val="24"/>
          <w:szCs w:val="24"/>
          <w:highlight w:val="none"/>
        </w:rPr>
      </w:pPr>
      <w:bookmarkStart w:id="4" w:name="_Toc362613367"/>
      <w:bookmarkStart w:id="5" w:name="_Toc358103494"/>
      <w:bookmarkStart w:id="6" w:name="_Toc353913912"/>
      <w:bookmarkStart w:id="7" w:name="_Toc353914176"/>
      <w:bookmarkStart w:id="8" w:name="_Toc353955150"/>
      <w:r>
        <w:rPr>
          <w:rFonts w:hint="eastAsia" w:ascii="宋体" w:hAnsi="宋体" w:eastAsia="宋体" w:cs="Times New Roman"/>
          <w:bCs/>
          <w:color w:val="auto"/>
          <w:kern w:val="44"/>
          <w:sz w:val="24"/>
          <w:szCs w:val="24"/>
          <w:highlight w:val="none"/>
        </w:rPr>
        <w:t>1 总则</w:t>
      </w:r>
      <w:bookmarkEnd w:id="4"/>
      <w:bookmarkEnd w:id="5"/>
      <w:bookmarkEnd w:id="6"/>
      <w:bookmarkEnd w:id="7"/>
      <w:bookmarkEnd w:id="8"/>
    </w:p>
    <w:p w14:paraId="4187A024">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.1本招标文件仅适用于</w:t>
      </w:r>
      <w:r>
        <w:rPr>
          <w:rFonts w:ascii="宋体" w:hAnsi="宋体" w:eastAsia="宋体" w:cs="Times New Roman"/>
          <w:color w:val="auto"/>
          <w:sz w:val="24"/>
          <w:szCs w:val="24"/>
          <w:highlight w:val="none"/>
        </w:rPr>
        <w:t>洛阳万基宏远电力有限公司</w:t>
      </w:r>
      <w:r>
        <w:rPr>
          <w:rFonts w:hint="eastAsia" w:ascii="宋体" w:hAnsi="宋体" w:eastAsia="宋体" w:cs="Times New Roman"/>
          <w:color w:val="auto"/>
          <w:sz w:val="24"/>
          <w:szCs w:val="24"/>
          <w:highlight w:val="none"/>
        </w:rPr>
        <w:t>#2机组灵活性及节能改造项目中配套的的锅炉壁温系统升级改造及其附属设备及附件等，它提出了锅炉壁温系统升级改造本体设备及其附属系统的功能设计、制造、检验、安装和试验等方面的技术要求。</w:t>
      </w:r>
    </w:p>
    <w:p w14:paraId="7583F98E">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1.2 </w:t>
      </w:r>
      <w:r>
        <w:rPr>
          <w:rFonts w:hint="eastAsia" w:ascii="宋体" w:hAnsi="宋体" w:eastAsia="宋体" w:cs="Times New Roman"/>
          <w:color w:val="auto"/>
          <w:sz w:val="24"/>
          <w:szCs w:val="24"/>
          <w:highlight w:val="none"/>
        </w:rPr>
        <w:t>本招标文件提出的是最低限度的技术要求，</w:t>
      </w:r>
      <w:r>
        <w:rPr>
          <w:rFonts w:hint="eastAsia" w:ascii="宋体" w:hAnsi="宋体" w:eastAsia="宋体" w:cs="Times New Roman"/>
          <w:color w:val="auto"/>
          <w:spacing w:val="-10"/>
          <w:sz w:val="24"/>
          <w:szCs w:val="24"/>
          <w:highlight w:val="none"/>
        </w:rPr>
        <w:t>并未对一切技术细节作出详细规定，也未充分引述有关标准和规范的条文</w:t>
      </w:r>
      <w:r>
        <w:rPr>
          <w:rFonts w:hint="eastAsia" w:ascii="宋体" w:hAnsi="宋体" w:eastAsia="宋体" w:cs="Times New Roman"/>
          <w:color w:val="auto"/>
          <w:sz w:val="24"/>
          <w:szCs w:val="24"/>
          <w:highlight w:val="none"/>
        </w:rPr>
        <w:t>，投标人应保证提供符合本规范书和相关的国际国内标准要求的优质产品及相应服务。</w:t>
      </w:r>
    </w:p>
    <w:p w14:paraId="24242715">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1.3 </w:t>
      </w:r>
      <w:r>
        <w:rPr>
          <w:rFonts w:hint="eastAsia" w:ascii="宋体" w:hAnsi="宋体" w:eastAsia="宋体" w:cs="Times New Roman"/>
          <w:color w:val="auto"/>
          <w:sz w:val="24"/>
          <w:szCs w:val="24"/>
          <w:highlight w:val="none"/>
        </w:rPr>
        <w:t>如招标人有除本规范书以外的其它要求，应以书面形式提出，经招、投标双方讨论后载于本规范书。</w:t>
      </w:r>
    </w:p>
    <w:p w14:paraId="12B987DF">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.4</w:t>
      </w:r>
      <w:bookmarkStart w:id="9" w:name="OLE_LINK6"/>
      <w:bookmarkStart w:id="10" w:name="OLE_LINK5"/>
      <w:r>
        <w:rPr>
          <w:rFonts w:hint="eastAsia" w:ascii="宋体" w:hAnsi="宋体" w:eastAsia="宋体" w:cs="Times New Roman"/>
          <w:color w:val="auto"/>
          <w:sz w:val="24"/>
          <w:szCs w:val="24"/>
          <w:highlight w:val="none"/>
        </w:rPr>
        <w:t>锅炉壁温系统</w:t>
      </w:r>
      <w:bookmarkEnd w:id="9"/>
      <w:bookmarkEnd w:id="10"/>
      <w:r>
        <w:rPr>
          <w:rFonts w:hint="eastAsia" w:ascii="宋体" w:hAnsi="宋体" w:eastAsia="宋体" w:cs="Times New Roman"/>
          <w:color w:val="auto"/>
          <w:sz w:val="24"/>
          <w:szCs w:val="24"/>
          <w:highlight w:val="none"/>
        </w:rPr>
        <w:t>升级改造的设备及系统设计由投标人完成。投标人应对提供的</w:t>
      </w:r>
      <w:bookmarkStart w:id="11" w:name="OLE_LINK7"/>
      <w:bookmarkStart w:id="12" w:name="OLE_LINK8"/>
      <w:r>
        <w:rPr>
          <w:rFonts w:hint="eastAsia" w:ascii="宋体" w:hAnsi="宋体" w:eastAsia="宋体" w:cs="Times New Roman"/>
          <w:color w:val="auto"/>
          <w:sz w:val="24"/>
          <w:szCs w:val="24"/>
          <w:highlight w:val="none"/>
        </w:rPr>
        <w:t>锅炉壁温系统</w:t>
      </w:r>
      <w:bookmarkEnd w:id="11"/>
      <w:bookmarkEnd w:id="12"/>
      <w:r>
        <w:rPr>
          <w:rFonts w:hint="eastAsia" w:ascii="宋体" w:hAnsi="宋体" w:eastAsia="宋体" w:cs="Times New Roman"/>
          <w:color w:val="auto"/>
          <w:sz w:val="24"/>
          <w:szCs w:val="24"/>
          <w:highlight w:val="none"/>
        </w:rPr>
        <w:t>的完善性和功能正确性负全部责任，投标人须有600MW及以上火电机组的</w:t>
      </w:r>
      <w:bookmarkStart w:id="13" w:name="OLE_LINK12"/>
      <w:bookmarkStart w:id="14" w:name="OLE_LINK11"/>
      <w:r>
        <w:rPr>
          <w:rFonts w:hint="eastAsia" w:ascii="宋体" w:hAnsi="宋体" w:eastAsia="宋体" w:cs="Times New Roman"/>
          <w:color w:val="auto"/>
          <w:sz w:val="24"/>
          <w:szCs w:val="24"/>
          <w:highlight w:val="none"/>
        </w:rPr>
        <w:t>锅炉壁温系统升级</w:t>
      </w:r>
      <w:bookmarkEnd w:id="13"/>
      <w:bookmarkEnd w:id="14"/>
      <w:r>
        <w:rPr>
          <w:rFonts w:hint="eastAsia" w:ascii="宋体" w:hAnsi="宋体" w:eastAsia="宋体" w:cs="Times New Roman"/>
          <w:color w:val="auto"/>
          <w:sz w:val="24"/>
          <w:szCs w:val="24"/>
          <w:highlight w:val="none"/>
        </w:rPr>
        <w:t>改造方面的良好运行业绩。业绩要求见招标公告。</w:t>
      </w:r>
    </w:p>
    <w:p w14:paraId="1DE3DDD8">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 xml:space="preserve">.5 </w:t>
      </w:r>
      <w:r>
        <w:rPr>
          <w:rFonts w:hint="eastAsia" w:ascii="宋体" w:hAnsi="宋体" w:eastAsia="宋体" w:cs="Times New Roman"/>
          <w:color w:val="auto"/>
          <w:sz w:val="24"/>
          <w:szCs w:val="24"/>
          <w:highlight w:val="none"/>
        </w:rPr>
        <w:t>本招标文件所使用的标准若与投标人所执行的标准发生矛盾时，按较严格标准执行。</w:t>
      </w:r>
    </w:p>
    <w:p w14:paraId="54B2E67D">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 xml:space="preserve">.6 </w:t>
      </w:r>
      <w:r>
        <w:rPr>
          <w:rFonts w:hint="eastAsia" w:ascii="宋体" w:hAnsi="宋体" w:eastAsia="宋体" w:cs="Times New Roman"/>
          <w:color w:val="auto"/>
          <w:sz w:val="24"/>
          <w:szCs w:val="24"/>
          <w:highlight w:val="none"/>
        </w:rPr>
        <w:t>如投标人未对本规范书提出书面异议，招标人则可认为供方提供的产品完全满足本规范书的要求。</w:t>
      </w:r>
    </w:p>
    <w:p w14:paraId="62677BE7">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1.7 </w:t>
      </w:r>
      <w:r>
        <w:rPr>
          <w:rFonts w:hint="eastAsia" w:ascii="宋体" w:hAnsi="宋体" w:eastAsia="宋体" w:cs="Times New Roman"/>
          <w:color w:val="auto"/>
          <w:sz w:val="24"/>
          <w:szCs w:val="24"/>
          <w:highlight w:val="none"/>
        </w:rPr>
        <w:t>本招标文件经招、投标双方共同确认和签字后作为订货合同的附件，与订货合同正文具有同等效力。未尽事宜由双方协商解决。</w:t>
      </w:r>
    </w:p>
    <w:p w14:paraId="6BDF06FD">
      <w:pPr>
        <w:widowControl w:val="0"/>
        <w:topLinePunct/>
        <w:snapToGrid/>
        <w:spacing w:after="0" w:line="360" w:lineRule="auto"/>
        <w:jc w:val="both"/>
        <w:textAlignment w:val="baseline"/>
        <w:rPr>
          <w:rFonts w:ascii="Arial" w:hAnsi="Arial" w:eastAsia="宋体" w:cs="Arial"/>
          <w:color w:val="auto"/>
          <w:sz w:val="24"/>
          <w:szCs w:val="24"/>
          <w:highlight w:val="none"/>
        </w:rPr>
      </w:pPr>
      <w:r>
        <w:rPr>
          <w:rFonts w:hint="eastAsia" w:ascii="宋体" w:hAnsi="宋体" w:eastAsia="宋体" w:cs="Times New Roman"/>
          <w:color w:val="auto"/>
          <w:sz w:val="24"/>
          <w:szCs w:val="24"/>
          <w:highlight w:val="none"/>
        </w:rPr>
        <w:t>1.8</w:t>
      </w:r>
      <w:r>
        <w:rPr>
          <w:rFonts w:ascii="Arial" w:hAnsi="Arial" w:eastAsia="宋体" w:cs="Arial"/>
          <w:color w:val="auto"/>
          <w:sz w:val="24"/>
          <w:szCs w:val="24"/>
          <w:highlight w:val="none"/>
        </w:rPr>
        <w:t>本工程采用</w:t>
      </w:r>
      <w:r>
        <w:rPr>
          <w:rFonts w:hint="eastAsia" w:ascii="宋体" w:hAnsi="宋体" w:eastAsia="宋体" w:cs="Times New Roman"/>
          <w:color w:val="auto"/>
          <w:sz w:val="24"/>
          <w:szCs w:val="24"/>
          <w:highlight w:val="none"/>
        </w:rPr>
        <w:t>电厂编码标识系统</w:t>
      </w:r>
      <w:r>
        <w:rPr>
          <w:rFonts w:ascii="Arial" w:hAnsi="Arial" w:eastAsia="宋体" w:cs="Arial"/>
          <w:color w:val="auto"/>
          <w:sz w:val="24"/>
          <w:szCs w:val="24"/>
          <w:highlight w:val="none"/>
        </w:rPr>
        <w:t>。</w:t>
      </w:r>
      <w:r>
        <w:rPr>
          <w:rFonts w:hint="eastAsia" w:ascii="Arial" w:hAnsi="Arial" w:eastAsia="宋体" w:cs="Arial"/>
          <w:color w:val="auto"/>
          <w:sz w:val="24"/>
          <w:szCs w:val="24"/>
          <w:highlight w:val="none"/>
        </w:rPr>
        <w:t>投标人</w:t>
      </w:r>
      <w:r>
        <w:rPr>
          <w:rFonts w:ascii="Arial" w:hAnsi="Arial" w:eastAsia="宋体" w:cs="Arial"/>
          <w:color w:val="auto"/>
          <w:sz w:val="24"/>
          <w:szCs w:val="24"/>
          <w:highlight w:val="none"/>
        </w:rPr>
        <w:t>在中标后提供的技术文件（包括资料、图纸）和设备铭牌上须有编</w:t>
      </w:r>
      <w:r>
        <w:rPr>
          <w:rFonts w:hint="eastAsia" w:ascii="Arial" w:hAnsi="Arial" w:eastAsia="宋体" w:cs="Arial"/>
          <w:color w:val="auto"/>
          <w:sz w:val="24"/>
          <w:szCs w:val="24"/>
          <w:highlight w:val="none"/>
        </w:rPr>
        <w:t>码</w:t>
      </w:r>
      <w:r>
        <w:rPr>
          <w:rFonts w:ascii="Arial" w:hAnsi="Arial" w:eastAsia="宋体" w:cs="Arial"/>
          <w:color w:val="auto"/>
          <w:sz w:val="24"/>
          <w:szCs w:val="24"/>
          <w:highlight w:val="none"/>
        </w:rPr>
        <w:t>，具体标识要求由设计院提出，在设计联络会上确定。</w:t>
      </w:r>
    </w:p>
    <w:p w14:paraId="637EBD2E">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9在合同签定后，招标人有权因规范、标准、规程发生变化而提出一些补充要求，具体内容双方共同商定。</w:t>
      </w:r>
    </w:p>
    <w:p w14:paraId="3571349F">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1.10所有设备铭牌的材料采用不锈钢316L。</w:t>
      </w:r>
    </w:p>
    <w:p w14:paraId="591A7EE6">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bCs/>
          <w:color w:val="auto"/>
          <w:sz w:val="24"/>
          <w:szCs w:val="24"/>
          <w:highlight w:val="none"/>
        </w:rPr>
        <w:t>1.11</w:t>
      </w:r>
      <w:r>
        <w:rPr>
          <w:rFonts w:hint="eastAsia" w:ascii="宋体" w:hAnsi="宋体" w:eastAsia="宋体" w:cs="Times New Roman"/>
          <w:color w:val="auto"/>
          <w:sz w:val="24"/>
          <w:szCs w:val="24"/>
          <w:highlight w:val="none"/>
        </w:rPr>
        <w:t>投标方应在投标文件中，对于招标文件进行逐段应答，表明是否理解并承诺接受和同意本招标文件的要求，如：接受和同意招标文件某条款的要求，则在该条款后注明：“理解并承诺完全响应上述条款的要求”；若针对某条款，投标方有特别的建议、方案、技术特点或差异，请在该条款下加以详细描述。</w:t>
      </w:r>
    </w:p>
    <w:p w14:paraId="62BEC032">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1.12 本工程涉及到工程范围外的设备、构建筑物等临时拆除或造成破损，由投标人负责恢复至原有状态。涉及有可能破坏工程范围外的设备、构建筑物等投标人必须事先采取经招标人同意的必要措施进行监测和保护，如涉及基础施工时，有可能照成工程范围外的设备、构建筑物等的沉降和不稳定问题等。</w:t>
      </w:r>
    </w:p>
    <w:p w14:paraId="0D31C79B">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1.13 本工程投标人须按照洛阳万基宏远电力有限公司安全文明生产相关要求进行安全文明施工。</w:t>
      </w:r>
    </w:p>
    <w:p w14:paraId="519F2973">
      <w:pPr>
        <w:widowControl w:val="0"/>
        <w:snapToGrid/>
        <w:spacing w:after="0" w:line="360" w:lineRule="auto"/>
        <w:jc w:val="both"/>
        <w:textAlignment w:val="baseline"/>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1.14 本工程投标人须为所有施工人员购买工伤保险或赔付金额大于100万（或保险金额为不低于上一年全国城镇具名人均可支配收入的30倍）的意外伤害保险，同时承担高风险作业的人员还必须增加雇主责任险，引起的任何纠纷等责任由报价人自行承担。</w:t>
      </w:r>
    </w:p>
    <w:p w14:paraId="18F7553C">
      <w:pPr>
        <w:spacing w:after="0"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1.1</w:t>
      </w:r>
      <w:r>
        <w:rPr>
          <w:rFonts w:ascii="宋体" w:hAnsi="宋体" w:eastAsia="宋体" w:cs="Times New Roman"/>
          <w:color w:val="auto"/>
          <w:sz w:val="24"/>
          <w:szCs w:val="24"/>
          <w:highlight w:val="none"/>
        </w:rPr>
        <w:t>5本项目改造范围</w:t>
      </w:r>
      <w:r>
        <w:rPr>
          <w:rFonts w:hint="eastAsia" w:ascii="宋体" w:hAnsi="宋体" w:eastAsia="宋体" w:cs="Times New Roman"/>
          <w:color w:val="auto"/>
          <w:sz w:val="24"/>
          <w:szCs w:val="24"/>
          <w:highlight w:val="none"/>
        </w:rPr>
        <w:t>是在低负荷或变负荷条件下，</w:t>
      </w:r>
      <w:r>
        <w:rPr>
          <w:rFonts w:hint="eastAsia" w:ascii="宋体" w:hAnsi="宋体" w:eastAsia="宋体" w:cs="Times New Roman"/>
          <w:color w:val="auto"/>
          <w:sz w:val="24"/>
          <w:szCs w:val="24"/>
          <w:highlight w:val="none"/>
          <w:lang w:val="en-US" w:eastAsia="zh-CN"/>
        </w:rPr>
        <w:t>对</w:t>
      </w:r>
      <w:r>
        <w:rPr>
          <w:rFonts w:hint="eastAsia" w:ascii="宋体" w:hAnsi="宋体" w:eastAsia="宋体" w:cs="Times New Roman"/>
          <w:color w:val="auto"/>
          <w:sz w:val="24"/>
          <w:szCs w:val="24"/>
          <w:highlight w:val="none"/>
        </w:rPr>
        <w:t>存在超温隐患的水冷壁、屏过、末过、末再等受热面增加和优化壁温测点，保证机组深调过程中锅炉的水动力安全，</w:t>
      </w:r>
      <w:r>
        <w:rPr>
          <w:rFonts w:ascii="宋体" w:hAnsi="宋体" w:eastAsia="宋体" w:cs="Times New Roman"/>
          <w:color w:val="auto"/>
          <w:sz w:val="24"/>
          <w:szCs w:val="24"/>
          <w:highlight w:val="none"/>
        </w:rPr>
        <w:t>包括但不限于：</w:t>
      </w:r>
      <w:bookmarkStart w:id="15" w:name="OLE_LINK15"/>
      <w:bookmarkStart w:id="16" w:name="OLE_LINK16"/>
      <w:r>
        <w:rPr>
          <w:rFonts w:hint="eastAsia" w:ascii="宋体" w:hAnsi="宋体" w:eastAsia="宋体" w:cs="Times New Roman"/>
          <w:color w:val="auto"/>
          <w:sz w:val="24"/>
          <w:szCs w:val="24"/>
          <w:highlight w:val="none"/>
        </w:rPr>
        <w:t>锅炉壁温系统升级改造</w:t>
      </w:r>
      <w:bookmarkEnd w:id="15"/>
      <w:bookmarkEnd w:id="16"/>
      <w:r>
        <w:rPr>
          <w:rFonts w:hint="eastAsia" w:ascii="宋体" w:hAnsi="宋体" w:eastAsia="宋体" w:cs="Times New Roman"/>
          <w:color w:val="auto"/>
          <w:sz w:val="24"/>
          <w:szCs w:val="24"/>
          <w:highlight w:val="none"/>
        </w:rPr>
        <w:t>的设计</w:t>
      </w:r>
      <w:r>
        <w:rPr>
          <w:rFonts w:ascii="宋体" w:hAnsi="宋体" w:eastAsia="宋体" w:cs="Times New Roman"/>
          <w:color w:val="auto"/>
          <w:sz w:val="24"/>
          <w:szCs w:val="24"/>
          <w:highlight w:val="none"/>
        </w:rPr>
        <w:t>、采购、供货、运输、施工安装、工序验收、调试、试验、试运行、消缺、培训、考核验收和最终交付投产等。上述改造范围仅列出了本改造工程主要改造范围，</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应充分考虑本改造工程实施过程中必须要实施的原有系统及设备的改造，除非</w:t>
      </w:r>
      <w:r>
        <w:rPr>
          <w:rFonts w:hint="eastAsia" w:ascii="宋体" w:hAnsi="宋体" w:eastAsia="宋体" w:cs="Times New Roman"/>
          <w:color w:val="auto"/>
          <w:sz w:val="24"/>
          <w:szCs w:val="24"/>
          <w:highlight w:val="none"/>
        </w:rPr>
        <w:t>招标方</w:t>
      </w:r>
      <w:r>
        <w:rPr>
          <w:rFonts w:ascii="宋体" w:hAnsi="宋体" w:eastAsia="宋体" w:cs="Times New Roman"/>
          <w:color w:val="auto"/>
          <w:sz w:val="24"/>
          <w:szCs w:val="24"/>
          <w:highlight w:val="none"/>
        </w:rPr>
        <w:t>明确，该部分改造工作亦在本次改造工程范围内，由</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负责实施（设计、供货、施工），且不另计费用，为了保证改造工程的顺利进行，并在改造后达到预期的目的，</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需到</w:t>
      </w:r>
      <w:r>
        <w:rPr>
          <w:rFonts w:hint="eastAsia" w:ascii="宋体" w:hAnsi="宋体" w:eastAsia="宋体" w:cs="Times New Roman"/>
          <w:color w:val="auto"/>
          <w:sz w:val="24"/>
          <w:szCs w:val="24"/>
          <w:highlight w:val="none"/>
        </w:rPr>
        <w:t>招标方</w:t>
      </w:r>
      <w:r>
        <w:rPr>
          <w:rFonts w:ascii="宋体" w:hAnsi="宋体" w:eastAsia="宋体" w:cs="Times New Roman"/>
          <w:color w:val="auto"/>
          <w:sz w:val="24"/>
          <w:szCs w:val="24"/>
          <w:highlight w:val="none"/>
        </w:rPr>
        <w:t>现场进行踏勘和进一步的收资，否则由此造成的一切后果均由</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负责，踏勘和进一步的收资的费用由</w:t>
      </w:r>
      <w:r>
        <w:rPr>
          <w:rFonts w:hint="eastAsia" w:ascii="宋体" w:hAnsi="宋体" w:eastAsia="宋体" w:cs="Times New Roman"/>
          <w:color w:val="auto"/>
          <w:sz w:val="24"/>
          <w:szCs w:val="24"/>
          <w:highlight w:val="none"/>
        </w:rPr>
        <w:t>投标方</w:t>
      </w:r>
      <w:r>
        <w:rPr>
          <w:rFonts w:ascii="宋体" w:hAnsi="宋体" w:eastAsia="宋体" w:cs="Times New Roman"/>
          <w:color w:val="auto"/>
          <w:sz w:val="24"/>
          <w:szCs w:val="24"/>
          <w:highlight w:val="none"/>
        </w:rPr>
        <w:t>负责。</w:t>
      </w:r>
    </w:p>
    <w:p w14:paraId="03922884">
      <w:pPr>
        <w:keepNext/>
        <w:spacing w:before="140" w:after="140" w:line="360" w:lineRule="auto"/>
        <w:outlineLvl w:val="1"/>
        <w:rPr>
          <w:rFonts w:hint="eastAsia" w:ascii="宋体" w:hAnsi="宋体" w:eastAsia="宋体" w:cs="Times New Roman"/>
          <w:color w:val="auto"/>
          <w:sz w:val="24"/>
          <w:szCs w:val="24"/>
          <w:highlight w:val="none"/>
        </w:rPr>
      </w:pPr>
      <w:bookmarkStart w:id="17" w:name="_Toc6364"/>
      <w:bookmarkStart w:id="18" w:name="_Toc29464"/>
      <w:bookmarkStart w:id="19" w:name="_Toc261960256"/>
      <w:bookmarkStart w:id="20" w:name="_Toc273168730"/>
      <w:bookmarkStart w:id="21" w:name="_Toc273169342"/>
      <w:bookmarkStart w:id="22" w:name="_Toc359852081"/>
    </w:p>
    <w:p w14:paraId="09F83772">
      <w:pPr>
        <w:keepNext/>
        <w:spacing w:before="140" w:after="140" w:line="360" w:lineRule="auto"/>
        <w:outlineLvl w:val="1"/>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2.工程概况</w:t>
      </w:r>
      <w:bookmarkEnd w:id="17"/>
      <w:bookmarkEnd w:id="18"/>
    </w:p>
    <w:bookmarkEnd w:id="19"/>
    <w:bookmarkEnd w:id="20"/>
    <w:bookmarkEnd w:id="21"/>
    <w:p w14:paraId="513EA7B5">
      <w:pPr>
        <w:keepNext/>
        <w:widowControl w:val="0"/>
        <w:spacing w:before="120" w:after="120" w:line="360" w:lineRule="auto"/>
        <w:outlineLvl w:val="2"/>
        <w:rPr>
          <w:rFonts w:ascii="宋体" w:hAnsi="宋体" w:eastAsia="宋体" w:cs="Times New Roman"/>
          <w:color w:val="auto"/>
          <w:sz w:val="24"/>
          <w:szCs w:val="24"/>
          <w:highlight w:val="none"/>
        </w:rPr>
      </w:pPr>
      <w:bookmarkStart w:id="23" w:name="_Toc13033"/>
      <w:r>
        <w:rPr>
          <w:rFonts w:hint="eastAsia" w:ascii="宋体" w:hAnsi="宋体" w:eastAsia="宋体" w:cs="Times New Roman"/>
          <w:color w:val="auto"/>
          <w:sz w:val="24"/>
          <w:szCs w:val="24"/>
          <w:highlight w:val="none"/>
        </w:rPr>
        <w:t>2.1接口相关设备概况</w:t>
      </w:r>
      <w:bookmarkEnd w:id="23"/>
    </w:p>
    <w:p w14:paraId="5678CCF7">
      <w:pPr>
        <w:autoSpaceDE w:val="0"/>
        <w:autoSpaceDN w:val="0"/>
        <w:spacing w:line="360" w:lineRule="auto"/>
        <w:ind w:firstLine="480" w:firstLineChars="200"/>
        <w:jc w:val="both"/>
        <w:rPr>
          <w:rFonts w:ascii="宋体" w:hAnsi="宋体" w:eastAsia="宋体" w:cs="Times New Roman"/>
          <w:color w:val="auto"/>
          <w:sz w:val="24"/>
          <w:szCs w:val="24"/>
          <w:highlight w:val="none"/>
        </w:rPr>
      </w:pPr>
      <w:bookmarkStart w:id="24" w:name="_Toc188792609"/>
      <w:bookmarkStart w:id="25" w:name="_Toc189735172"/>
      <w:bookmarkStart w:id="26" w:name="_Toc189538575"/>
      <w:bookmarkStart w:id="27" w:name="_Toc25260"/>
      <w:r>
        <w:rPr>
          <w:rFonts w:hint="eastAsia" w:ascii="宋体" w:hAnsi="宋体" w:eastAsia="宋体" w:cs="Times New Roman"/>
          <w:color w:val="auto"/>
          <w:sz w:val="24"/>
          <w:szCs w:val="24"/>
          <w:highlight w:val="none"/>
        </w:rPr>
        <w:t>本工程现有两台600MW汽轮发电机组，</w:t>
      </w:r>
      <w:r>
        <w:rPr>
          <w:rFonts w:ascii="宋体" w:hAnsi="宋体" w:eastAsia="宋体" w:cs="Times New Roman"/>
          <w:color w:val="auto"/>
          <w:sz w:val="24"/>
          <w:szCs w:val="24"/>
          <w:highlight w:val="none"/>
        </w:rPr>
        <w:t>锅炉采用π型布置</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单炉膛，</w:t>
      </w:r>
      <w:r>
        <w:rPr>
          <w:rFonts w:hint="eastAsia" w:ascii="宋体" w:hAnsi="宋体" w:eastAsia="宋体" w:cs="Times New Roman"/>
          <w:color w:val="auto"/>
          <w:sz w:val="24"/>
          <w:szCs w:val="24"/>
          <w:highlight w:val="none"/>
        </w:rPr>
        <w:t>尾部双烟道</w:t>
      </w:r>
      <w:r>
        <w:rPr>
          <w:rFonts w:ascii="宋体" w:hAnsi="宋体" w:eastAsia="宋体" w:cs="Times New Roman"/>
          <w:color w:val="auto"/>
          <w:sz w:val="24"/>
          <w:szCs w:val="24"/>
          <w:highlight w:val="none"/>
        </w:rPr>
        <w:t>，全钢架，悬吊结构，燃烧器前后墙布置</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对冲燃烧。</w:t>
      </w:r>
    </w:p>
    <w:p w14:paraId="4EC5FBDA">
      <w:pPr>
        <w:ind w:firstLine="48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锅炉主要设计参数见表2.1。</w:t>
      </w:r>
    </w:p>
    <w:p w14:paraId="7B910678">
      <w:pPr>
        <w:jc w:val="center"/>
        <w:rPr>
          <w:rFonts w:hint="eastAsia" w:ascii="宋体" w:hAnsi="宋体" w:eastAsia="宋体" w:cs="Times New Roman"/>
          <w:color w:val="auto"/>
          <w:sz w:val="24"/>
          <w:szCs w:val="24"/>
          <w:highlight w:val="none"/>
        </w:rPr>
      </w:pPr>
    </w:p>
    <w:p w14:paraId="5B01380E">
      <w:pPr>
        <w:jc w:val="center"/>
        <w:rPr>
          <w:rFonts w:hint="eastAsia" w:ascii="宋体" w:hAnsi="宋体" w:eastAsia="宋体" w:cs="Times New Roman"/>
          <w:color w:val="auto"/>
          <w:sz w:val="24"/>
          <w:szCs w:val="24"/>
          <w:highlight w:val="none"/>
        </w:rPr>
      </w:pPr>
    </w:p>
    <w:p w14:paraId="14343023">
      <w:pPr>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表</w:t>
      </w:r>
      <w:r>
        <w:rPr>
          <w:rFonts w:ascii="宋体" w:hAnsi="宋体" w:eastAsia="宋体" w:cs="Times New Roman"/>
          <w:color w:val="auto"/>
          <w:sz w:val="24"/>
          <w:szCs w:val="24"/>
          <w:highlight w:val="none"/>
        </w:rPr>
        <w:t xml:space="preserve">2.1  </w:t>
      </w:r>
      <w:r>
        <w:rPr>
          <w:rFonts w:hint="eastAsia" w:ascii="宋体" w:hAnsi="宋体" w:eastAsia="宋体" w:cs="Times New Roman"/>
          <w:color w:val="auto"/>
          <w:sz w:val="24"/>
          <w:szCs w:val="24"/>
          <w:highlight w:val="none"/>
        </w:rPr>
        <w:t>锅炉主要设计参数</w:t>
      </w:r>
    </w:p>
    <w:tbl>
      <w:tblPr>
        <w:tblStyle w:val="59"/>
        <w:tblW w:w="4769"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2"/>
        <w:gridCol w:w="1699"/>
        <w:gridCol w:w="3607"/>
      </w:tblGrid>
      <w:tr w14:paraId="4D7D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05" w:type="pct"/>
            <w:vAlign w:val="center"/>
          </w:tcPr>
          <w:p w14:paraId="07A0ABD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名称</w:t>
            </w:r>
          </w:p>
        </w:tc>
        <w:tc>
          <w:tcPr>
            <w:tcW w:w="959" w:type="pct"/>
            <w:vAlign w:val="center"/>
          </w:tcPr>
          <w:p w14:paraId="218F4159">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单位</w:t>
            </w:r>
          </w:p>
        </w:tc>
        <w:tc>
          <w:tcPr>
            <w:tcW w:w="2037" w:type="pct"/>
            <w:vAlign w:val="center"/>
          </w:tcPr>
          <w:p w14:paraId="54E6B486">
            <w:pPr>
              <w:spacing w:line="320" w:lineRule="exact"/>
              <w:jc w:val="center"/>
              <w:rPr>
                <w:rFonts w:cs="Times New Roman" w:asciiTheme="minorEastAsia" w:hAnsiTheme="minorEastAsia" w:eastAsiaTheme="minorEastAsia"/>
                <w:color w:val="auto"/>
                <w:sz w:val="24"/>
                <w:szCs w:val="24"/>
                <w:highlight w:val="none"/>
                <w:lang w:eastAsia="zh-CN"/>
              </w:rPr>
            </w:pPr>
            <w:r>
              <w:rPr>
                <w:rFonts w:cs="Times New Roman" w:asciiTheme="minorEastAsia" w:hAnsiTheme="minorEastAsia" w:eastAsiaTheme="minorEastAsia"/>
                <w:color w:val="auto"/>
                <w:sz w:val="24"/>
                <w:szCs w:val="24"/>
                <w:highlight w:val="none"/>
                <w:lang w:eastAsia="zh-CN"/>
              </w:rPr>
              <w:t>设计参数（BMCR工况）</w:t>
            </w:r>
          </w:p>
        </w:tc>
      </w:tr>
      <w:tr w14:paraId="1FFB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6E03D3F9">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锅炉</w:t>
            </w:r>
          </w:p>
        </w:tc>
        <w:tc>
          <w:tcPr>
            <w:tcW w:w="959" w:type="pct"/>
            <w:vAlign w:val="center"/>
          </w:tcPr>
          <w:p w14:paraId="0DB4B56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5008CAB3">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HG1999/29.3-YM4</w:t>
            </w:r>
          </w:p>
        </w:tc>
      </w:tr>
      <w:tr w14:paraId="6595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6FC21E3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生产厂家</w:t>
            </w:r>
          </w:p>
        </w:tc>
        <w:tc>
          <w:tcPr>
            <w:tcW w:w="959" w:type="pct"/>
            <w:vAlign w:val="center"/>
          </w:tcPr>
          <w:p w14:paraId="1508F4C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33A8F94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哈尔滨锅炉厂</w:t>
            </w:r>
          </w:p>
        </w:tc>
      </w:tr>
      <w:tr w14:paraId="763B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203482DB">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主蒸汽流量</w:t>
            </w:r>
          </w:p>
        </w:tc>
        <w:tc>
          <w:tcPr>
            <w:tcW w:w="959" w:type="pct"/>
            <w:vAlign w:val="center"/>
          </w:tcPr>
          <w:p w14:paraId="5F743E9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t/h</w:t>
            </w:r>
          </w:p>
        </w:tc>
        <w:tc>
          <w:tcPr>
            <w:tcW w:w="2037" w:type="pct"/>
            <w:vAlign w:val="center"/>
          </w:tcPr>
          <w:p w14:paraId="66F9150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1999</w:t>
            </w:r>
          </w:p>
        </w:tc>
      </w:tr>
      <w:tr w14:paraId="4495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3118A0B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主蒸汽压力</w:t>
            </w:r>
          </w:p>
        </w:tc>
        <w:tc>
          <w:tcPr>
            <w:tcW w:w="959" w:type="pct"/>
            <w:vAlign w:val="center"/>
          </w:tcPr>
          <w:p w14:paraId="4067896D">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MPa</w:t>
            </w:r>
          </w:p>
        </w:tc>
        <w:tc>
          <w:tcPr>
            <w:tcW w:w="2037" w:type="pct"/>
            <w:vAlign w:val="center"/>
          </w:tcPr>
          <w:p w14:paraId="6572FF24">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29.4</w:t>
            </w:r>
          </w:p>
        </w:tc>
      </w:tr>
      <w:tr w14:paraId="4884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174FD99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主蒸汽温度</w:t>
            </w:r>
          </w:p>
        </w:tc>
        <w:tc>
          <w:tcPr>
            <w:tcW w:w="959" w:type="pct"/>
            <w:vAlign w:val="center"/>
          </w:tcPr>
          <w:p w14:paraId="6340B81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613FEB8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605</w:t>
            </w:r>
          </w:p>
        </w:tc>
      </w:tr>
      <w:tr w14:paraId="50B7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005" w:type="pct"/>
            <w:vAlign w:val="center"/>
          </w:tcPr>
          <w:p w14:paraId="6DE835A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再热蒸汽流量</w:t>
            </w:r>
          </w:p>
        </w:tc>
        <w:tc>
          <w:tcPr>
            <w:tcW w:w="959" w:type="pct"/>
            <w:vAlign w:val="center"/>
          </w:tcPr>
          <w:p w14:paraId="02FECC4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t/h</w:t>
            </w:r>
          </w:p>
        </w:tc>
        <w:tc>
          <w:tcPr>
            <w:tcW w:w="2037" w:type="pct"/>
            <w:vAlign w:val="center"/>
          </w:tcPr>
          <w:p w14:paraId="1290600B">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1682.7</w:t>
            </w:r>
          </w:p>
        </w:tc>
      </w:tr>
      <w:tr w14:paraId="2C1E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05" w:type="pct"/>
            <w:vAlign w:val="center"/>
          </w:tcPr>
          <w:p w14:paraId="1CB2EB9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再热蒸汽进口压力</w:t>
            </w:r>
          </w:p>
        </w:tc>
        <w:tc>
          <w:tcPr>
            <w:tcW w:w="959" w:type="pct"/>
            <w:vAlign w:val="center"/>
          </w:tcPr>
          <w:p w14:paraId="2B026C2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MPa</w:t>
            </w:r>
          </w:p>
        </w:tc>
        <w:tc>
          <w:tcPr>
            <w:tcW w:w="2037" w:type="pct"/>
            <w:vAlign w:val="center"/>
          </w:tcPr>
          <w:p w14:paraId="448FC08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6.354</w:t>
            </w:r>
          </w:p>
        </w:tc>
      </w:tr>
      <w:tr w14:paraId="2D2B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25E9973D">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再热蒸汽出口压力</w:t>
            </w:r>
          </w:p>
        </w:tc>
        <w:tc>
          <w:tcPr>
            <w:tcW w:w="959" w:type="pct"/>
            <w:vAlign w:val="center"/>
          </w:tcPr>
          <w:p w14:paraId="2D36718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MPa</w:t>
            </w:r>
          </w:p>
        </w:tc>
        <w:tc>
          <w:tcPr>
            <w:tcW w:w="2037" w:type="pct"/>
            <w:vAlign w:val="center"/>
          </w:tcPr>
          <w:p w14:paraId="28674A83">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6.061</w:t>
            </w:r>
          </w:p>
        </w:tc>
      </w:tr>
      <w:tr w14:paraId="7987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58587154">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再热蒸汽进口温度</w:t>
            </w:r>
          </w:p>
        </w:tc>
        <w:tc>
          <w:tcPr>
            <w:tcW w:w="959" w:type="pct"/>
            <w:vAlign w:val="center"/>
          </w:tcPr>
          <w:p w14:paraId="02C2B6B6">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69C40326">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366.6</w:t>
            </w:r>
          </w:p>
        </w:tc>
      </w:tr>
      <w:tr w14:paraId="4761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494E633D">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再热蒸汽出口温度</w:t>
            </w:r>
          </w:p>
        </w:tc>
        <w:tc>
          <w:tcPr>
            <w:tcW w:w="959" w:type="pct"/>
            <w:vAlign w:val="center"/>
          </w:tcPr>
          <w:p w14:paraId="48F9687E">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E8612B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623</w:t>
            </w:r>
          </w:p>
        </w:tc>
      </w:tr>
      <w:tr w14:paraId="195D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17954401">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给水温度</w:t>
            </w:r>
          </w:p>
        </w:tc>
        <w:tc>
          <w:tcPr>
            <w:tcW w:w="959" w:type="pct"/>
            <w:vAlign w:val="center"/>
          </w:tcPr>
          <w:p w14:paraId="3A6D424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241B26A">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305.2</w:t>
            </w:r>
          </w:p>
        </w:tc>
      </w:tr>
      <w:tr w14:paraId="2909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67511968">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锅炉保证效率</w:t>
            </w:r>
          </w:p>
        </w:tc>
        <w:tc>
          <w:tcPr>
            <w:tcW w:w="959" w:type="pct"/>
            <w:vAlign w:val="center"/>
          </w:tcPr>
          <w:p w14:paraId="3F435F27">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978AFA8">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92.8</w:t>
            </w:r>
          </w:p>
        </w:tc>
      </w:tr>
      <w:tr w14:paraId="542A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3D285EE5">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不投油最低稳燃负荷</w:t>
            </w:r>
          </w:p>
        </w:tc>
        <w:tc>
          <w:tcPr>
            <w:tcW w:w="959" w:type="pct"/>
            <w:vAlign w:val="center"/>
          </w:tcPr>
          <w:p w14:paraId="10FA1B2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25AC294C">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≤35%BMCR</w:t>
            </w:r>
          </w:p>
        </w:tc>
      </w:tr>
      <w:tr w14:paraId="492D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5627EDF4">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锅炉点火方式</w:t>
            </w:r>
          </w:p>
        </w:tc>
        <w:tc>
          <w:tcPr>
            <w:tcW w:w="959" w:type="pct"/>
            <w:vAlign w:val="center"/>
          </w:tcPr>
          <w:p w14:paraId="04BA648F">
            <w:pPr>
              <w:spacing w:line="320" w:lineRule="exact"/>
              <w:jc w:val="center"/>
              <w:rPr>
                <w:rFonts w:cs="Times New Roman" w:asciiTheme="minorEastAsia" w:hAnsiTheme="minorEastAsia" w:eastAsiaTheme="minorEastAsia"/>
                <w:color w:val="auto"/>
                <w:sz w:val="24"/>
                <w:szCs w:val="24"/>
                <w:highlight w:val="none"/>
                <w:lang w:eastAsia="en-US"/>
              </w:rPr>
            </w:pPr>
            <w:r>
              <w:rPr>
                <w:rFonts w:cs="Times New Roman" w:asciiTheme="minorEastAsia" w:hAnsiTheme="minorEastAsia" w:eastAsiaTheme="minorEastAsia"/>
                <w:color w:val="auto"/>
                <w:sz w:val="24"/>
                <w:szCs w:val="24"/>
                <w:highlight w:val="none"/>
                <w:lang w:eastAsia="en-US"/>
              </w:rPr>
              <w:t>\</w:t>
            </w:r>
          </w:p>
        </w:tc>
        <w:tc>
          <w:tcPr>
            <w:tcW w:w="2037" w:type="pct"/>
            <w:vAlign w:val="center"/>
          </w:tcPr>
          <w:p w14:paraId="486D806B">
            <w:pPr>
              <w:spacing w:line="320" w:lineRule="exact"/>
              <w:jc w:val="center"/>
              <w:rPr>
                <w:rFonts w:cs="Times New Roman" w:asciiTheme="minorEastAsia" w:hAnsiTheme="minorEastAsia" w:eastAsiaTheme="minorEastAsia"/>
                <w:color w:val="auto"/>
                <w:sz w:val="24"/>
                <w:szCs w:val="24"/>
                <w:highlight w:val="none"/>
                <w:lang w:eastAsia="zh-CN"/>
              </w:rPr>
            </w:pPr>
            <w:r>
              <w:rPr>
                <w:rFonts w:cs="Times New Roman" w:asciiTheme="minorEastAsia" w:hAnsiTheme="minorEastAsia" w:eastAsiaTheme="minorEastAsia"/>
                <w:color w:val="auto"/>
                <w:sz w:val="24"/>
                <w:szCs w:val="24"/>
                <w:highlight w:val="none"/>
                <w:lang w:eastAsia="zh-CN"/>
              </w:rPr>
              <w:t>常规油点火＋少油点火</w:t>
            </w:r>
          </w:p>
        </w:tc>
      </w:tr>
    </w:tbl>
    <w:p w14:paraId="75756E12">
      <w:pPr>
        <w:jc w:val="center"/>
        <w:rPr>
          <w:rFonts w:ascii="Arial Narrow" w:hAnsi="Arial Narrow" w:cs="Times New Roman"/>
          <w:color w:val="auto"/>
          <w:sz w:val="24"/>
          <w:szCs w:val="24"/>
          <w:highlight w:val="none"/>
        </w:rPr>
      </w:pPr>
    </w:p>
    <w:p w14:paraId="461C9215">
      <w:pPr>
        <w:ind w:firstLine="480"/>
        <w:rPr>
          <w:rFonts w:cs="Times New Roman"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技术协议签订时设计煤质参数如下：</w:t>
      </w:r>
    </w:p>
    <w:p w14:paraId="4B162FA3">
      <w:pPr>
        <w:spacing w:line="40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表</w:t>
      </w:r>
      <w:r>
        <w:rPr>
          <w:rFonts w:cs="Arial Narrow" w:asciiTheme="minorEastAsia" w:hAnsiTheme="minorEastAsia" w:eastAsiaTheme="minorEastAsia"/>
          <w:color w:val="auto"/>
          <w:sz w:val="24"/>
          <w:szCs w:val="24"/>
          <w:highlight w:val="none"/>
        </w:rPr>
        <w:t xml:space="preserve">2.3 </w:t>
      </w:r>
      <w:r>
        <w:rPr>
          <w:rFonts w:hint="eastAsia" w:asciiTheme="minorEastAsia" w:hAnsiTheme="minorEastAsia" w:eastAsiaTheme="minorEastAsia"/>
          <w:color w:val="auto"/>
          <w:sz w:val="24"/>
          <w:szCs w:val="24"/>
          <w:highlight w:val="none"/>
        </w:rPr>
        <w:t>设计煤种分析</w:t>
      </w:r>
    </w:p>
    <w:tbl>
      <w:tblPr>
        <w:tblStyle w:val="58"/>
        <w:tblW w:w="4826"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67"/>
        <w:gridCol w:w="1059"/>
        <w:gridCol w:w="1259"/>
        <w:gridCol w:w="1572"/>
        <w:gridCol w:w="1383"/>
        <w:gridCol w:w="1325"/>
      </w:tblGrid>
      <w:tr w14:paraId="0718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25FA051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燃煤资料</w:t>
            </w:r>
          </w:p>
        </w:tc>
        <w:tc>
          <w:tcPr>
            <w:tcW w:w="604" w:type="pct"/>
            <w:vAlign w:val="center"/>
          </w:tcPr>
          <w:p w14:paraId="19DE27B6">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符号</w:t>
            </w:r>
          </w:p>
        </w:tc>
        <w:tc>
          <w:tcPr>
            <w:tcW w:w="718" w:type="pct"/>
            <w:vAlign w:val="center"/>
          </w:tcPr>
          <w:p w14:paraId="05DA5D3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单位</w:t>
            </w:r>
          </w:p>
        </w:tc>
        <w:tc>
          <w:tcPr>
            <w:tcW w:w="897" w:type="pct"/>
            <w:vAlign w:val="center"/>
          </w:tcPr>
          <w:p w14:paraId="7C181AA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设计煤种</w:t>
            </w:r>
          </w:p>
        </w:tc>
        <w:tc>
          <w:tcPr>
            <w:tcW w:w="789" w:type="pct"/>
            <w:vAlign w:val="center"/>
          </w:tcPr>
          <w:p w14:paraId="6000925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校核煤种1</w:t>
            </w:r>
          </w:p>
        </w:tc>
        <w:tc>
          <w:tcPr>
            <w:tcW w:w="756" w:type="pct"/>
            <w:vAlign w:val="center"/>
          </w:tcPr>
          <w:p w14:paraId="5933DF4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校核煤种2</w:t>
            </w:r>
          </w:p>
        </w:tc>
      </w:tr>
      <w:tr w14:paraId="3F8D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2F72987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收到基碳分</w:t>
            </w:r>
          </w:p>
        </w:tc>
        <w:tc>
          <w:tcPr>
            <w:tcW w:w="604" w:type="pct"/>
            <w:vAlign w:val="center"/>
          </w:tcPr>
          <w:p w14:paraId="6C7DB8A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Car</w:t>
            </w:r>
          </w:p>
        </w:tc>
        <w:tc>
          <w:tcPr>
            <w:tcW w:w="718" w:type="pct"/>
            <w:vAlign w:val="center"/>
          </w:tcPr>
          <w:p w14:paraId="3E5B88E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3B38376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54.95</w:t>
            </w:r>
          </w:p>
        </w:tc>
        <w:tc>
          <w:tcPr>
            <w:tcW w:w="789" w:type="pct"/>
            <w:vAlign w:val="center"/>
          </w:tcPr>
          <w:p w14:paraId="1B4CB6E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46.62</w:t>
            </w:r>
          </w:p>
        </w:tc>
        <w:tc>
          <w:tcPr>
            <w:tcW w:w="756" w:type="pct"/>
            <w:vAlign w:val="center"/>
          </w:tcPr>
          <w:p w14:paraId="275C982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58.80</w:t>
            </w:r>
          </w:p>
        </w:tc>
      </w:tr>
      <w:tr w14:paraId="59F9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DECDE7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收到基氢分</w:t>
            </w:r>
          </w:p>
        </w:tc>
        <w:tc>
          <w:tcPr>
            <w:tcW w:w="604" w:type="pct"/>
            <w:vAlign w:val="center"/>
          </w:tcPr>
          <w:p w14:paraId="75D22E5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Har</w:t>
            </w:r>
          </w:p>
        </w:tc>
        <w:tc>
          <w:tcPr>
            <w:tcW w:w="718" w:type="pct"/>
            <w:vAlign w:val="center"/>
          </w:tcPr>
          <w:p w14:paraId="05A91EB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28AE1E5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3.77</w:t>
            </w:r>
          </w:p>
        </w:tc>
        <w:tc>
          <w:tcPr>
            <w:tcW w:w="789" w:type="pct"/>
            <w:vAlign w:val="center"/>
          </w:tcPr>
          <w:p w14:paraId="30BDA66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3.22</w:t>
            </w:r>
          </w:p>
        </w:tc>
        <w:tc>
          <w:tcPr>
            <w:tcW w:w="756" w:type="pct"/>
            <w:vAlign w:val="center"/>
          </w:tcPr>
          <w:p w14:paraId="59DA30D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3.78</w:t>
            </w:r>
          </w:p>
        </w:tc>
      </w:tr>
      <w:tr w14:paraId="66ED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4E5D1B0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收到基氧分</w:t>
            </w:r>
          </w:p>
        </w:tc>
        <w:tc>
          <w:tcPr>
            <w:tcW w:w="604" w:type="pct"/>
            <w:vAlign w:val="center"/>
          </w:tcPr>
          <w:p w14:paraId="35D94B4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Oar</w:t>
            </w:r>
          </w:p>
        </w:tc>
        <w:tc>
          <w:tcPr>
            <w:tcW w:w="718" w:type="pct"/>
            <w:vAlign w:val="center"/>
          </w:tcPr>
          <w:p w14:paraId="4326325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5238E4E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8.69</w:t>
            </w:r>
          </w:p>
        </w:tc>
        <w:tc>
          <w:tcPr>
            <w:tcW w:w="789" w:type="pct"/>
            <w:vAlign w:val="center"/>
          </w:tcPr>
          <w:p w14:paraId="379367F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8.43</w:t>
            </w:r>
          </w:p>
        </w:tc>
        <w:tc>
          <w:tcPr>
            <w:tcW w:w="756" w:type="pct"/>
            <w:vAlign w:val="center"/>
          </w:tcPr>
          <w:p w14:paraId="66D6DF8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6.94</w:t>
            </w:r>
          </w:p>
        </w:tc>
      </w:tr>
      <w:tr w14:paraId="053C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7547369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收到基氮分</w:t>
            </w:r>
          </w:p>
        </w:tc>
        <w:tc>
          <w:tcPr>
            <w:tcW w:w="604" w:type="pct"/>
            <w:vAlign w:val="center"/>
          </w:tcPr>
          <w:p w14:paraId="070DE68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Nar</w:t>
            </w:r>
          </w:p>
        </w:tc>
        <w:tc>
          <w:tcPr>
            <w:tcW w:w="718" w:type="pct"/>
            <w:vAlign w:val="center"/>
          </w:tcPr>
          <w:p w14:paraId="71E5CE26">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6E014F2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0.91</w:t>
            </w:r>
          </w:p>
        </w:tc>
        <w:tc>
          <w:tcPr>
            <w:tcW w:w="789" w:type="pct"/>
            <w:vAlign w:val="center"/>
          </w:tcPr>
          <w:p w14:paraId="22C5AD6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0.79</w:t>
            </w:r>
          </w:p>
        </w:tc>
        <w:tc>
          <w:tcPr>
            <w:tcW w:w="756" w:type="pct"/>
            <w:vAlign w:val="center"/>
          </w:tcPr>
          <w:p w14:paraId="507B9E3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0.73</w:t>
            </w:r>
          </w:p>
        </w:tc>
      </w:tr>
      <w:tr w14:paraId="1731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7E7E3AD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收到基硫分</w:t>
            </w:r>
          </w:p>
        </w:tc>
        <w:tc>
          <w:tcPr>
            <w:tcW w:w="604" w:type="pct"/>
            <w:vAlign w:val="center"/>
          </w:tcPr>
          <w:p w14:paraId="296B4EE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St.ar</w:t>
            </w:r>
          </w:p>
        </w:tc>
        <w:tc>
          <w:tcPr>
            <w:tcW w:w="718" w:type="pct"/>
            <w:vAlign w:val="center"/>
          </w:tcPr>
          <w:p w14:paraId="0F1003F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50807C1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0.51</w:t>
            </w:r>
          </w:p>
        </w:tc>
        <w:tc>
          <w:tcPr>
            <w:tcW w:w="789" w:type="pct"/>
            <w:vAlign w:val="center"/>
          </w:tcPr>
          <w:p w14:paraId="62D13DE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0.60</w:t>
            </w:r>
          </w:p>
        </w:tc>
        <w:tc>
          <w:tcPr>
            <w:tcW w:w="756" w:type="pct"/>
            <w:vAlign w:val="center"/>
          </w:tcPr>
          <w:p w14:paraId="5CFD818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1.5</w:t>
            </w:r>
          </w:p>
        </w:tc>
      </w:tr>
      <w:tr w14:paraId="78C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1A40A9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收到基全水分</w:t>
            </w:r>
          </w:p>
        </w:tc>
        <w:tc>
          <w:tcPr>
            <w:tcW w:w="604" w:type="pct"/>
            <w:vAlign w:val="center"/>
          </w:tcPr>
          <w:p w14:paraId="5ED1278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Mt</w:t>
            </w:r>
          </w:p>
        </w:tc>
        <w:tc>
          <w:tcPr>
            <w:tcW w:w="718" w:type="pct"/>
            <w:vAlign w:val="center"/>
          </w:tcPr>
          <w:p w14:paraId="1F12316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7C9AB4A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7.8</w:t>
            </w:r>
          </w:p>
        </w:tc>
        <w:tc>
          <w:tcPr>
            <w:tcW w:w="789" w:type="pct"/>
            <w:vAlign w:val="center"/>
          </w:tcPr>
          <w:p w14:paraId="4F94BAD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10</w:t>
            </w:r>
          </w:p>
        </w:tc>
        <w:tc>
          <w:tcPr>
            <w:tcW w:w="756" w:type="pct"/>
            <w:vAlign w:val="center"/>
          </w:tcPr>
          <w:p w14:paraId="1E8F75D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11.3</w:t>
            </w:r>
          </w:p>
        </w:tc>
      </w:tr>
      <w:tr w14:paraId="4CCC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643FBDA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收到基灰分</w:t>
            </w:r>
          </w:p>
        </w:tc>
        <w:tc>
          <w:tcPr>
            <w:tcW w:w="604" w:type="pct"/>
            <w:vAlign w:val="center"/>
          </w:tcPr>
          <w:p w14:paraId="2B6FBA4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Aar</w:t>
            </w:r>
          </w:p>
        </w:tc>
        <w:tc>
          <w:tcPr>
            <w:tcW w:w="718" w:type="pct"/>
            <w:vAlign w:val="center"/>
          </w:tcPr>
          <w:p w14:paraId="0BC5405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272EAAF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23.37</w:t>
            </w:r>
          </w:p>
        </w:tc>
        <w:tc>
          <w:tcPr>
            <w:tcW w:w="789" w:type="pct"/>
            <w:vAlign w:val="center"/>
          </w:tcPr>
          <w:p w14:paraId="05842AC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30.34</w:t>
            </w:r>
          </w:p>
        </w:tc>
        <w:tc>
          <w:tcPr>
            <w:tcW w:w="756" w:type="pct"/>
            <w:vAlign w:val="center"/>
          </w:tcPr>
          <w:p w14:paraId="2B2DE40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16.95</w:t>
            </w:r>
          </w:p>
        </w:tc>
      </w:tr>
      <w:tr w14:paraId="67AE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52D0424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空气干燥基水分</w:t>
            </w:r>
          </w:p>
        </w:tc>
        <w:tc>
          <w:tcPr>
            <w:tcW w:w="604" w:type="pct"/>
            <w:vAlign w:val="center"/>
          </w:tcPr>
          <w:p w14:paraId="1423D24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Mad</w:t>
            </w:r>
          </w:p>
        </w:tc>
        <w:tc>
          <w:tcPr>
            <w:tcW w:w="718" w:type="pct"/>
            <w:vAlign w:val="center"/>
          </w:tcPr>
          <w:p w14:paraId="0D199CB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4439E41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1.50</w:t>
            </w:r>
          </w:p>
        </w:tc>
        <w:tc>
          <w:tcPr>
            <w:tcW w:w="789" w:type="pct"/>
            <w:vAlign w:val="center"/>
          </w:tcPr>
          <w:p w14:paraId="146FA82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1.46</w:t>
            </w:r>
          </w:p>
        </w:tc>
        <w:tc>
          <w:tcPr>
            <w:tcW w:w="756" w:type="pct"/>
            <w:vAlign w:val="center"/>
          </w:tcPr>
          <w:p w14:paraId="2915B4A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3.84</w:t>
            </w:r>
          </w:p>
        </w:tc>
      </w:tr>
      <w:tr w14:paraId="2521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6C2989C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收到基低位发热量</w:t>
            </w:r>
          </w:p>
        </w:tc>
        <w:tc>
          <w:tcPr>
            <w:tcW w:w="604" w:type="pct"/>
            <w:vAlign w:val="center"/>
          </w:tcPr>
          <w:p w14:paraId="498156DB">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Qnet.ar</w:t>
            </w:r>
          </w:p>
        </w:tc>
        <w:tc>
          <w:tcPr>
            <w:tcW w:w="718" w:type="pct"/>
            <w:vAlign w:val="center"/>
          </w:tcPr>
          <w:p w14:paraId="3D2FFB5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MJ/kg</w:t>
            </w:r>
          </w:p>
        </w:tc>
        <w:tc>
          <w:tcPr>
            <w:tcW w:w="897" w:type="pct"/>
            <w:vAlign w:val="center"/>
          </w:tcPr>
          <w:p w14:paraId="663CF8C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21.40</w:t>
            </w:r>
          </w:p>
        </w:tc>
        <w:tc>
          <w:tcPr>
            <w:tcW w:w="789" w:type="pct"/>
            <w:vAlign w:val="center"/>
          </w:tcPr>
          <w:p w14:paraId="62B27C6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17.89</w:t>
            </w:r>
          </w:p>
        </w:tc>
        <w:tc>
          <w:tcPr>
            <w:tcW w:w="756" w:type="pct"/>
            <w:vAlign w:val="center"/>
          </w:tcPr>
          <w:p w14:paraId="55E49AD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23.03</w:t>
            </w:r>
          </w:p>
        </w:tc>
      </w:tr>
      <w:tr w14:paraId="50F5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1A1DE8D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干燥无灰基挥发分</w:t>
            </w:r>
          </w:p>
        </w:tc>
        <w:tc>
          <w:tcPr>
            <w:tcW w:w="604" w:type="pct"/>
            <w:vAlign w:val="center"/>
          </w:tcPr>
          <w:p w14:paraId="169F74F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Vdaf</w:t>
            </w:r>
          </w:p>
        </w:tc>
        <w:tc>
          <w:tcPr>
            <w:tcW w:w="718" w:type="pct"/>
            <w:vAlign w:val="center"/>
          </w:tcPr>
          <w:p w14:paraId="2E04D263">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2A2E22A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38.64</w:t>
            </w:r>
          </w:p>
        </w:tc>
        <w:tc>
          <w:tcPr>
            <w:tcW w:w="789" w:type="pct"/>
            <w:vAlign w:val="center"/>
          </w:tcPr>
          <w:p w14:paraId="79DEF41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39.43</w:t>
            </w:r>
          </w:p>
        </w:tc>
        <w:tc>
          <w:tcPr>
            <w:tcW w:w="756" w:type="pct"/>
            <w:vAlign w:val="center"/>
          </w:tcPr>
          <w:p w14:paraId="73B387E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38.94</w:t>
            </w:r>
          </w:p>
        </w:tc>
      </w:tr>
      <w:tr w14:paraId="4ADF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5632F30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可磨性系数</w:t>
            </w:r>
          </w:p>
        </w:tc>
        <w:tc>
          <w:tcPr>
            <w:tcW w:w="604" w:type="pct"/>
            <w:vAlign w:val="center"/>
          </w:tcPr>
          <w:p w14:paraId="1443786E">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HGI</w:t>
            </w:r>
          </w:p>
        </w:tc>
        <w:tc>
          <w:tcPr>
            <w:tcW w:w="718" w:type="pct"/>
            <w:vAlign w:val="center"/>
          </w:tcPr>
          <w:p w14:paraId="79B5D2FB">
            <w:pPr>
              <w:spacing w:line="320" w:lineRule="exact"/>
              <w:jc w:val="center"/>
              <w:rPr>
                <w:rFonts w:cs="Times New Roman" w:asciiTheme="minorEastAsia" w:hAnsiTheme="minorEastAsia" w:eastAsiaTheme="minorEastAsia"/>
                <w:color w:val="auto"/>
                <w:sz w:val="24"/>
                <w:szCs w:val="24"/>
                <w:highlight w:val="none"/>
              </w:rPr>
            </w:pPr>
          </w:p>
        </w:tc>
        <w:tc>
          <w:tcPr>
            <w:tcW w:w="897" w:type="pct"/>
            <w:vAlign w:val="center"/>
          </w:tcPr>
          <w:p w14:paraId="56B800B6">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59</w:t>
            </w:r>
          </w:p>
        </w:tc>
        <w:tc>
          <w:tcPr>
            <w:tcW w:w="789" w:type="pct"/>
            <w:vAlign w:val="center"/>
          </w:tcPr>
          <w:p w14:paraId="4FD5592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64</w:t>
            </w:r>
          </w:p>
        </w:tc>
        <w:tc>
          <w:tcPr>
            <w:tcW w:w="756" w:type="pct"/>
            <w:vAlign w:val="center"/>
          </w:tcPr>
          <w:p w14:paraId="3D3D305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67</w:t>
            </w:r>
          </w:p>
        </w:tc>
      </w:tr>
      <w:tr w14:paraId="701A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CB7D38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氯含量</w:t>
            </w:r>
          </w:p>
        </w:tc>
        <w:tc>
          <w:tcPr>
            <w:tcW w:w="604" w:type="pct"/>
            <w:vAlign w:val="center"/>
          </w:tcPr>
          <w:p w14:paraId="746BD4C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Clar</w:t>
            </w:r>
          </w:p>
        </w:tc>
        <w:tc>
          <w:tcPr>
            <w:tcW w:w="718" w:type="pct"/>
            <w:vAlign w:val="center"/>
          </w:tcPr>
          <w:p w14:paraId="12BD55E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w:t>
            </w:r>
          </w:p>
        </w:tc>
        <w:tc>
          <w:tcPr>
            <w:tcW w:w="897" w:type="pct"/>
            <w:vAlign w:val="center"/>
          </w:tcPr>
          <w:p w14:paraId="7F9EE508">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0.030</w:t>
            </w:r>
          </w:p>
        </w:tc>
        <w:tc>
          <w:tcPr>
            <w:tcW w:w="789" w:type="pct"/>
            <w:vAlign w:val="center"/>
          </w:tcPr>
          <w:p w14:paraId="36660C09">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0.058</w:t>
            </w:r>
          </w:p>
        </w:tc>
        <w:tc>
          <w:tcPr>
            <w:tcW w:w="756" w:type="pct"/>
            <w:vAlign w:val="center"/>
          </w:tcPr>
          <w:p w14:paraId="0A2118F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0.013</w:t>
            </w:r>
          </w:p>
        </w:tc>
      </w:tr>
      <w:tr w14:paraId="3DD8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37176A2C">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氟含量</w:t>
            </w:r>
          </w:p>
        </w:tc>
        <w:tc>
          <w:tcPr>
            <w:tcW w:w="604" w:type="pct"/>
            <w:vAlign w:val="center"/>
          </w:tcPr>
          <w:p w14:paraId="3C868B4A">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Far</w:t>
            </w:r>
          </w:p>
        </w:tc>
        <w:tc>
          <w:tcPr>
            <w:tcW w:w="718" w:type="pct"/>
            <w:vAlign w:val="center"/>
          </w:tcPr>
          <w:p w14:paraId="3A213C0D">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ug/g</w:t>
            </w:r>
          </w:p>
        </w:tc>
        <w:tc>
          <w:tcPr>
            <w:tcW w:w="897" w:type="pct"/>
            <w:vAlign w:val="center"/>
          </w:tcPr>
          <w:p w14:paraId="5272E43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193</w:t>
            </w:r>
          </w:p>
        </w:tc>
        <w:tc>
          <w:tcPr>
            <w:tcW w:w="789" w:type="pct"/>
            <w:vAlign w:val="center"/>
          </w:tcPr>
          <w:p w14:paraId="0B58052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214</w:t>
            </w:r>
          </w:p>
        </w:tc>
        <w:tc>
          <w:tcPr>
            <w:tcW w:w="756" w:type="pct"/>
            <w:vAlign w:val="center"/>
          </w:tcPr>
          <w:p w14:paraId="55EFCCB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111</w:t>
            </w:r>
          </w:p>
        </w:tc>
      </w:tr>
      <w:tr w14:paraId="71B6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57AC70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汞</w:t>
            </w:r>
          </w:p>
        </w:tc>
        <w:tc>
          <w:tcPr>
            <w:tcW w:w="604" w:type="pct"/>
            <w:vAlign w:val="center"/>
          </w:tcPr>
          <w:p w14:paraId="51430E52">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HGar</w:t>
            </w:r>
          </w:p>
        </w:tc>
        <w:tc>
          <w:tcPr>
            <w:tcW w:w="718" w:type="pct"/>
            <w:vAlign w:val="center"/>
          </w:tcPr>
          <w:p w14:paraId="2076D0E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ug/g</w:t>
            </w:r>
          </w:p>
        </w:tc>
        <w:tc>
          <w:tcPr>
            <w:tcW w:w="897" w:type="pct"/>
            <w:vAlign w:val="center"/>
          </w:tcPr>
          <w:p w14:paraId="51A8E5D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0.066</w:t>
            </w:r>
          </w:p>
        </w:tc>
        <w:tc>
          <w:tcPr>
            <w:tcW w:w="789" w:type="pct"/>
            <w:vAlign w:val="center"/>
          </w:tcPr>
          <w:p w14:paraId="3490DA84">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0.104</w:t>
            </w:r>
          </w:p>
        </w:tc>
        <w:tc>
          <w:tcPr>
            <w:tcW w:w="756" w:type="pct"/>
            <w:vAlign w:val="center"/>
          </w:tcPr>
          <w:p w14:paraId="6667A8AF">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0.113</w:t>
            </w:r>
          </w:p>
        </w:tc>
      </w:tr>
      <w:tr w14:paraId="683D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6C66E310">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煤的冲刷磨损指数</w:t>
            </w:r>
          </w:p>
        </w:tc>
        <w:tc>
          <w:tcPr>
            <w:tcW w:w="604" w:type="pct"/>
            <w:vAlign w:val="center"/>
          </w:tcPr>
          <w:p w14:paraId="3F1A69C5">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Ke</w:t>
            </w:r>
          </w:p>
        </w:tc>
        <w:tc>
          <w:tcPr>
            <w:tcW w:w="718" w:type="pct"/>
            <w:vAlign w:val="center"/>
          </w:tcPr>
          <w:p w14:paraId="6559A426">
            <w:pPr>
              <w:spacing w:line="320" w:lineRule="exact"/>
              <w:jc w:val="center"/>
              <w:rPr>
                <w:rFonts w:cs="Times New Roman" w:asciiTheme="minorEastAsia" w:hAnsiTheme="minorEastAsia" w:eastAsiaTheme="minorEastAsia"/>
                <w:color w:val="auto"/>
                <w:sz w:val="24"/>
                <w:szCs w:val="24"/>
                <w:highlight w:val="none"/>
              </w:rPr>
            </w:pPr>
          </w:p>
        </w:tc>
        <w:tc>
          <w:tcPr>
            <w:tcW w:w="897" w:type="pct"/>
            <w:vAlign w:val="center"/>
          </w:tcPr>
          <w:p w14:paraId="7C8D968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0.1</w:t>
            </w:r>
          </w:p>
        </w:tc>
        <w:tc>
          <w:tcPr>
            <w:tcW w:w="789" w:type="pct"/>
            <w:vAlign w:val="center"/>
          </w:tcPr>
          <w:p w14:paraId="46D20447">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0.5</w:t>
            </w:r>
          </w:p>
        </w:tc>
        <w:tc>
          <w:tcPr>
            <w:tcW w:w="756" w:type="pct"/>
            <w:vAlign w:val="center"/>
          </w:tcPr>
          <w:p w14:paraId="4EC94A21">
            <w:pPr>
              <w:spacing w:line="320" w:lineRule="exact"/>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2.8</w:t>
            </w:r>
          </w:p>
        </w:tc>
      </w:tr>
    </w:tbl>
    <w:p w14:paraId="00DE594D">
      <w:pPr>
        <w:spacing w:line="400" w:lineRule="exact"/>
        <w:rPr>
          <w:rFonts w:ascii="宋体" w:hAnsi="宋体" w:eastAsia="宋体"/>
          <w:color w:val="auto"/>
          <w:sz w:val="24"/>
          <w:szCs w:val="24"/>
          <w:highlight w:val="none"/>
        </w:rPr>
      </w:pPr>
      <w:r>
        <w:rPr>
          <w:rFonts w:hint="eastAsia" w:ascii="宋体" w:hAnsi="宋体" w:eastAsia="宋体" w:cs="Times New Roman"/>
          <w:color w:val="auto"/>
          <w:kern w:val="2"/>
          <w:sz w:val="24"/>
          <w:szCs w:val="24"/>
          <w:highlight w:val="none"/>
          <w:lang w:val="zh-CN"/>
        </w:rPr>
        <w:t>2</w:t>
      </w:r>
      <w:bookmarkEnd w:id="24"/>
      <w:bookmarkEnd w:id="25"/>
      <w:bookmarkEnd w:id="26"/>
      <w:r>
        <w:rPr>
          <w:rFonts w:hint="eastAsia" w:ascii="宋体" w:hAnsi="宋体" w:eastAsia="宋体" w:cs="Times New Roman"/>
          <w:color w:val="auto"/>
          <w:kern w:val="2"/>
          <w:sz w:val="24"/>
          <w:szCs w:val="24"/>
          <w:highlight w:val="none"/>
          <w:lang w:val="zh-CN"/>
        </w:rPr>
        <w:t>.2</w:t>
      </w:r>
      <w:r>
        <w:rPr>
          <w:rFonts w:ascii="宋体" w:hAnsi="宋体" w:eastAsia="宋体" w:cs="Times New Roman"/>
          <w:color w:val="auto"/>
          <w:kern w:val="2"/>
          <w:sz w:val="24"/>
          <w:szCs w:val="24"/>
          <w:highlight w:val="none"/>
        </w:rPr>
        <w:t>项目</w:t>
      </w:r>
      <w:r>
        <w:rPr>
          <w:rFonts w:hint="eastAsia" w:ascii="宋体" w:hAnsi="宋体" w:eastAsia="宋体" w:cs="Times New Roman"/>
          <w:color w:val="auto"/>
          <w:kern w:val="2"/>
          <w:sz w:val="24"/>
          <w:szCs w:val="24"/>
          <w:highlight w:val="none"/>
          <w:lang w:val="zh-CN"/>
        </w:rPr>
        <w:t>现场条件</w:t>
      </w:r>
      <w:bookmarkEnd w:id="27"/>
    </w:p>
    <w:p w14:paraId="3C3E6FEA">
      <w:pPr>
        <w:pStyle w:val="87"/>
        <w:numPr>
          <w:ilvl w:val="2"/>
          <w:numId w:val="7"/>
        </w:numPr>
        <w:spacing w:line="360" w:lineRule="auto"/>
        <w:ind w:firstLineChars="0"/>
        <w:rPr>
          <w:snapToGrid w:val="0"/>
          <w:color w:val="auto"/>
          <w:sz w:val="24"/>
          <w:szCs w:val="24"/>
          <w:highlight w:val="none"/>
          <w:lang w:eastAsia="zh-CN"/>
        </w:rPr>
      </w:pPr>
      <w:r>
        <w:rPr>
          <w:rFonts w:hint="eastAsia"/>
          <w:snapToGrid w:val="0"/>
          <w:color w:val="auto"/>
          <w:sz w:val="24"/>
          <w:szCs w:val="24"/>
          <w:highlight w:val="none"/>
          <w:lang w:eastAsia="zh-CN"/>
        </w:rPr>
        <w:t>厂址条件</w:t>
      </w:r>
    </w:p>
    <w:p w14:paraId="0C692F40">
      <w:pPr>
        <w:tabs>
          <w:tab w:val="left" w:pos="90"/>
        </w:tabs>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万基</w:t>
      </w:r>
      <w:r>
        <w:rPr>
          <w:rFonts w:hint="eastAsia" w:ascii="宋体" w:hAnsi="宋体" w:eastAsia="宋体" w:cs="Arial"/>
          <w:snapToGrid w:val="0"/>
          <w:color w:val="auto"/>
          <w:sz w:val="24"/>
          <w:szCs w:val="24"/>
          <w:highlight w:val="none"/>
        </w:rPr>
        <w:t>宏远</w:t>
      </w:r>
      <w:r>
        <w:rPr>
          <w:rFonts w:ascii="宋体" w:hAnsi="宋体" w:eastAsia="宋体" w:cs="Arial"/>
          <w:snapToGrid w:val="0"/>
          <w:color w:val="auto"/>
          <w:sz w:val="24"/>
          <w:szCs w:val="24"/>
          <w:highlight w:val="none"/>
        </w:rPr>
        <w:t>电厂位于河南省洛阳市新安县铁门镇庙头村，南</w:t>
      </w:r>
      <w:r>
        <w:rPr>
          <w:rFonts w:hint="eastAsia" w:ascii="宋体" w:hAnsi="宋体" w:eastAsia="宋体" w:cs="Arial"/>
          <w:snapToGrid w:val="0"/>
          <w:color w:val="auto"/>
          <w:sz w:val="24"/>
          <w:szCs w:val="24"/>
          <w:highlight w:val="none"/>
        </w:rPr>
        <w:t>距</w:t>
      </w:r>
      <w:r>
        <w:rPr>
          <w:rFonts w:ascii="宋体" w:hAnsi="宋体" w:eastAsia="宋体" w:cs="Arial"/>
          <w:snapToGrid w:val="0"/>
          <w:color w:val="auto"/>
          <w:sz w:val="24"/>
          <w:szCs w:val="24"/>
          <w:highlight w:val="none"/>
        </w:rPr>
        <w:t>陇海铁路</w:t>
      </w:r>
      <w:r>
        <w:rPr>
          <w:rFonts w:hint="eastAsia" w:ascii="宋体" w:hAnsi="宋体" w:eastAsia="宋体" w:cs="Arial"/>
          <w:snapToGrid w:val="0"/>
          <w:color w:val="auto"/>
          <w:sz w:val="24"/>
          <w:szCs w:val="24"/>
          <w:highlight w:val="none"/>
        </w:rPr>
        <w:t>7</w:t>
      </w:r>
      <w:r>
        <w:rPr>
          <w:rFonts w:ascii="宋体" w:hAnsi="宋体" w:eastAsia="宋体" w:cs="Arial"/>
          <w:snapToGrid w:val="0"/>
          <w:color w:val="auto"/>
          <w:sz w:val="24"/>
          <w:szCs w:val="24"/>
          <w:highlight w:val="none"/>
        </w:rPr>
        <w:t>00m，北距310国道</w:t>
      </w:r>
      <w:r>
        <w:rPr>
          <w:rFonts w:hint="eastAsia" w:ascii="宋体" w:hAnsi="宋体" w:eastAsia="宋体" w:cs="Arial"/>
          <w:snapToGrid w:val="0"/>
          <w:color w:val="auto"/>
          <w:sz w:val="24"/>
          <w:szCs w:val="24"/>
          <w:highlight w:val="none"/>
        </w:rPr>
        <w:t>1</w:t>
      </w:r>
      <w:r>
        <w:rPr>
          <w:rFonts w:ascii="宋体" w:hAnsi="宋体" w:eastAsia="宋体" w:cs="Arial"/>
          <w:snapToGrid w:val="0"/>
          <w:color w:val="auto"/>
          <w:sz w:val="24"/>
          <w:szCs w:val="24"/>
          <w:highlight w:val="none"/>
        </w:rPr>
        <w:t>70m，东距洛阳市40km，交通十分方便。</w:t>
      </w:r>
    </w:p>
    <w:p w14:paraId="0E95E549">
      <w:pPr>
        <w:tabs>
          <w:tab w:val="left" w:pos="90"/>
        </w:tabs>
        <w:spacing w:line="360" w:lineRule="auto"/>
        <w:rPr>
          <w:rFonts w:ascii="宋体" w:hAnsi="宋体" w:eastAsia="宋体" w:cs="Arial"/>
          <w:snapToGrid w:val="0"/>
          <w:color w:val="auto"/>
          <w:sz w:val="24"/>
          <w:szCs w:val="24"/>
          <w:highlight w:val="none"/>
        </w:rPr>
      </w:pPr>
      <w:r>
        <w:rPr>
          <w:rFonts w:hint="eastAsia" w:ascii="宋体" w:hAnsi="宋体" w:eastAsia="宋体"/>
          <w:snapToGrid w:val="0"/>
          <w:color w:val="auto"/>
          <w:sz w:val="24"/>
          <w:szCs w:val="24"/>
          <w:highlight w:val="none"/>
        </w:rPr>
        <w:t>2.2.2 厂区的岩土工程条件</w:t>
      </w:r>
    </w:p>
    <w:p w14:paraId="30C0D7A6">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厂址区在大地构造单元上属于中朝准地台华熊台缘坳陷的渑池</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确山陷褶断束。近场区北部为太行隆起区，东南部为秦岭隆起区的崤山～熊耳山断块隆起，中部为渑池盆地。工程场地位于豫皖断块西北部，渑池盆地东部。渑池盆地东起义马，西到观音堂，北从坡头起，向南东开口，直到洛河沿岸。此盆地在中生代就频繁升降，接受了三叠纪、侏罗纪、白垩纪河湖相及煤系地层的沉积。中生代末至晚第三纪以剥蚀为主，早更新世和中更新世以沉积为主。晚更新世至全新世，本区与周围山区一起隆起受到剥蚀，只是在盆地边缘和河谷(涧河和洛河)中有厚度不大的晚更新世、全新世风积、坡积和冲积物沉积。</w:t>
      </w:r>
    </w:p>
    <w:p w14:paraId="4CF2233C">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本期工程主厂区利用已拆除的4</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25</w:t>
      </w:r>
      <w:r>
        <w:rPr>
          <w:rFonts w:ascii="宋体" w:hAnsi="宋体" w:eastAsia="宋体" w:cs="Arial"/>
          <w:snapToGrid w:val="0"/>
          <w:color w:val="auto"/>
          <w:sz w:val="24"/>
          <w:szCs w:val="24"/>
          <w:highlight w:val="none"/>
        </w:rPr>
        <w:t>MW</w:t>
      </w:r>
      <w:r>
        <w:rPr>
          <w:rFonts w:hint="eastAsia" w:ascii="宋体" w:hAnsi="宋体" w:eastAsia="宋体" w:cs="Arial"/>
          <w:snapToGrid w:val="0"/>
          <w:color w:val="auto"/>
          <w:sz w:val="24"/>
          <w:szCs w:val="24"/>
          <w:highlight w:val="none"/>
        </w:rPr>
        <w:t>＋2</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50</w:t>
      </w:r>
      <w:r>
        <w:rPr>
          <w:rFonts w:ascii="宋体" w:hAnsi="宋体" w:eastAsia="宋体" w:cs="Arial"/>
          <w:snapToGrid w:val="0"/>
          <w:color w:val="auto"/>
          <w:sz w:val="24"/>
          <w:szCs w:val="24"/>
          <w:highlight w:val="none"/>
        </w:rPr>
        <w:t>MW</w:t>
      </w:r>
      <w:r>
        <w:rPr>
          <w:rFonts w:hint="eastAsia" w:ascii="宋体" w:hAnsi="宋体" w:eastAsia="宋体" w:cs="Arial"/>
          <w:snapToGrid w:val="0"/>
          <w:color w:val="auto"/>
          <w:sz w:val="24"/>
          <w:szCs w:val="24"/>
          <w:highlight w:val="none"/>
        </w:rPr>
        <w:t>＋2</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135</w:t>
      </w:r>
      <w:r>
        <w:rPr>
          <w:rFonts w:ascii="宋体" w:hAnsi="宋体" w:eastAsia="宋体" w:cs="Arial"/>
          <w:snapToGrid w:val="0"/>
          <w:color w:val="auto"/>
          <w:sz w:val="24"/>
          <w:szCs w:val="24"/>
          <w:highlight w:val="none"/>
        </w:rPr>
        <w:t>MW</w:t>
      </w:r>
      <w:r>
        <w:rPr>
          <w:rFonts w:hint="eastAsia" w:ascii="宋体" w:hAnsi="宋体" w:eastAsia="宋体" w:cs="Arial"/>
          <w:snapToGrid w:val="0"/>
          <w:color w:val="auto"/>
          <w:sz w:val="24"/>
          <w:szCs w:val="24"/>
          <w:highlight w:val="none"/>
        </w:rPr>
        <w:t>机组场地，即老厂场地，自然地面标高306.0～315.0m（</w:t>
      </w:r>
      <w:r>
        <w:rPr>
          <w:rFonts w:hint="eastAsia" w:ascii="宋体" w:hAnsi="宋体" w:eastAsia="宋体"/>
          <w:color w:val="auto"/>
          <w:sz w:val="24"/>
          <w:szCs w:val="24"/>
          <w:highlight w:val="none"/>
        </w:rPr>
        <w:t>主厂房零米标高初步确定为311.45</w:t>
      </w:r>
      <w:r>
        <w:rPr>
          <w:rFonts w:ascii="宋体" w:hAnsi="宋体" w:eastAsia="宋体"/>
          <w:color w:val="auto"/>
          <w:sz w:val="24"/>
          <w:szCs w:val="24"/>
          <w:highlight w:val="none"/>
        </w:rPr>
        <w:t>m</w:t>
      </w:r>
      <w:r>
        <w:rPr>
          <w:rFonts w:hint="eastAsia" w:ascii="宋体" w:hAnsi="宋体" w:eastAsia="宋体"/>
          <w:color w:val="auto"/>
          <w:sz w:val="24"/>
          <w:szCs w:val="24"/>
          <w:highlight w:val="none"/>
        </w:rPr>
        <w:t>）</w:t>
      </w:r>
      <w:r>
        <w:rPr>
          <w:rFonts w:hint="eastAsia" w:ascii="宋体" w:hAnsi="宋体" w:eastAsia="宋体" w:cs="Arial"/>
          <w:snapToGrid w:val="0"/>
          <w:color w:val="auto"/>
          <w:sz w:val="24"/>
          <w:szCs w:val="24"/>
          <w:highlight w:val="none"/>
        </w:rPr>
        <w:t>。场地东西方向长约600</w:t>
      </w:r>
      <w:r>
        <w:rPr>
          <w:rFonts w:ascii="宋体" w:hAnsi="宋体" w:eastAsia="宋体" w:cs="Arial"/>
          <w:snapToGrid w:val="0"/>
          <w:color w:val="auto"/>
          <w:sz w:val="24"/>
          <w:szCs w:val="24"/>
          <w:highlight w:val="none"/>
        </w:rPr>
        <w:t>m</w:t>
      </w:r>
      <w:r>
        <w:rPr>
          <w:rFonts w:hint="eastAsia" w:ascii="宋体" w:hAnsi="宋体" w:eastAsia="宋体" w:cs="Arial"/>
          <w:snapToGrid w:val="0"/>
          <w:color w:val="auto"/>
          <w:sz w:val="24"/>
          <w:szCs w:val="24"/>
          <w:highlight w:val="none"/>
        </w:rPr>
        <w:t>，南北方向宽约250</w:t>
      </w:r>
      <w:r>
        <w:rPr>
          <w:rFonts w:ascii="宋体" w:hAnsi="宋体" w:eastAsia="宋体" w:cs="Arial"/>
          <w:snapToGrid w:val="0"/>
          <w:color w:val="auto"/>
          <w:sz w:val="24"/>
          <w:szCs w:val="24"/>
          <w:highlight w:val="none"/>
        </w:rPr>
        <w:t>m</w:t>
      </w:r>
      <w:r>
        <w:rPr>
          <w:rFonts w:hint="eastAsia" w:ascii="宋体" w:hAnsi="宋体" w:eastAsia="宋体" w:cs="Arial"/>
          <w:snapToGrid w:val="0"/>
          <w:color w:val="auto"/>
          <w:sz w:val="24"/>
          <w:szCs w:val="24"/>
          <w:highlight w:val="none"/>
        </w:rPr>
        <w:t>。</w:t>
      </w:r>
      <w:r>
        <w:rPr>
          <w:rFonts w:ascii="宋体" w:hAnsi="宋体" w:eastAsia="宋体" w:cs="Arial"/>
          <w:snapToGrid w:val="0"/>
          <w:color w:val="auto"/>
          <w:sz w:val="24"/>
          <w:szCs w:val="24"/>
          <w:highlight w:val="none"/>
        </w:rPr>
        <w:t>场地内岩土地层主要由杂填土和第四系冲积成因的黄土状土及冲洪积成因的粉质粘土、卵石和砂岩组成。场地平整、开阔，工程环境条件一般</w:t>
      </w:r>
      <w:r>
        <w:rPr>
          <w:rFonts w:hint="eastAsia" w:ascii="宋体" w:hAnsi="宋体" w:eastAsia="宋体" w:cs="Arial"/>
          <w:snapToGrid w:val="0"/>
          <w:color w:val="auto"/>
          <w:sz w:val="24"/>
          <w:szCs w:val="24"/>
          <w:highlight w:val="none"/>
        </w:rPr>
        <w:t>。厂址区无重要的军事及民用通讯设施，附近区域无军事及民用机场，地面无可见文物古迹，地下无矿藏。厂址区避开活动断裂，满足安全距离要求，场地相对稳定，适宜建厂。厂址场地土属于非自重湿陷性黄土场地，地基湿陷性等级为Ⅰ级。</w:t>
      </w:r>
    </w:p>
    <w:p w14:paraId="284BCAF7">
      <w:pPr>
        <w:tabs>
          <w:tab w:val="left" w:pos="90"/>
        </w:tabs>
        <w:spacing w:line="360" w:lineRule="auto"/>
        <w:rPr>
          <w:rFonts w:ascii="宋体" w:hAnsi="宋体" w:eastAsia="宋体"/>
          <w:snapToGrid w:val="0"/>
          <w:color w:val="auto"/>
          <w:sz w:val="24"/>
          <w:szCs w:val="24"/>
          <w:highlight w:val="none"/>
        </w:rPr>
      </w:pPr>
      <w:r>
        <w:rPr>
          <w:rFonts w:hint="eastAsia" w:ascii="宋体" w:hAnsi="宋体" w:eastAsia="宋体" w:cs="Arial"/>
          <w:snapToGrid w:val="0"/>
          <w:color w:val="auto"/>
          <w:sz w:val="24"/>
          <w:szCs w:val="24"/>
          <w:highlight w:val="none"/>
        </w:rPr>
        <w:t xml:space="preserve">2.2.3 </w:t>
      </w:r>
      <w:r>
        <w:rPr>
          <w:rFonts w:hint="eastAsia" w:ascii="宋体" w:hAnsi="宋体" w:eastAsia="宋体"/>
          <w:snapToGrid w:val="0"/>
          <w:color w:val="auto"/>
          <w:sz w:val="24"/>
          <w:szCs w:val="24"/>
          <w:highlight w:val="none"/>
        </w:rPr>
        <w:t>地震烈度</w:t>
      </w:r>
    </w:p>
    <w:p w14:paraId="36E79D7C">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根据最新的《中国地震动参数区划图》(GB18306-2015)，本工程拟建工程场地建筑场地类别为Ⅲ类，地震动峰值加速度和地震加速度反应周期需要调整。调整后拟建工程场地地震动峰值加速度为0.125g，对应地震烈度为7度，地震动峰值加速度反应谱特征周期为0.55s。</w:t>
      </w:r>
    </w:p>
    <w:p w14:paraId="16CE5077">
      <w:pPr>
        <w:tabs>
          <w:tab w:val="left" w:pos="90"/>
        </w:tabs>
        <w:spacing w:line="360" w:lineRule="auto"/>
        <w:rPr>
          <w:rFonts w:ascii="宋体" w:hAnsi="宋体" w:eastAsia="宋体"/>
          <w:snapToGrid w:val="0"/>
          <w:color w:val="auto"/>
          <w:sz w:val="24"/>
          <w:szCs w:val="24"/>
          <w:highlight w:val="none"/>
        </w:rPr>
      </w:pPr>
      <w:r>
        <w:rPr>
          <w:rFonts w:hint="eastAsia" w:ascii="宋体" w:hAnsi="宋体" w:eastAsia="宋体" w:cs="Arial"/>
          <w:snapToGrid w:val="0"/>
          <w:color w:val="auto"/>
          <w:sz w:val="24"/>
          <w:szCs w:val="24"/>
          <w:highlight w:val="none"/>
        </w:rPr>
        <w:t xml:space="preserve">2.2.4 </w:t>
      </w:r>
      <w:r>
        <w:rPr>
          <w:rFonts w:hint="eastAsia" w:ascii="宋体" w:hAnsi="宋体" w:eastAsia="宋体"/>
          <w:snapToGrid w:val="0"/>
          <w:color w:val="auto"/>
          <w:sz w:val="24"/>
          <w:szCs w:val="24"/>
          <w:highlight w:val="none"/>
        </w:rPr>
        <w:t>交通运输</w:t>
      </w:r>
    </w:p>
    <w:p w14:paraId="4DEB6E12">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洛阳市位于河南省西部。陇海、焦柳两大铁路干线交汇于洛阳，北部还有洛宜铁路。有连霍高速公路和国道207线、310线、311线穿过，有省道11条，新安县位于洛阳市西部，交通便利。</w:t>
      </w:r>
    </w:p>
    <w:p w14:paraId="5ECD90B1">
      <w:pPr>
        <w:spacing w:line="360" w:lineRule="auto"/>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（1）铁路运输</w:t>
      </w:r>
    </w:p>
    <w:p w14:paraId="18BE834B">
      <w:pPr>
        <w:tabs>
          <w:tab w:val="left" w:pos="90"/>
        </w:tabs>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电厂铁路专用线初步考虑从西南侧的陇海铁路铁门车站引接。铁门站为陇海线上的中间站，位于新安县铁门镇境内，介于义马站和南岗站之间，东距南岗站4.20km，西距义马站12.5 km。西咽喉设牵出线1股，有效长为531m。本站为办理货运业务的三等站，主要承担陇海线上下行客货运列车的接发、解编货物列车的甩挂、专用线装卸车取送作业。东咽喉端有车务运贸公司、万丰、洛阳玻璃厂、黄河水泥厂、海校、货1、货2共7条专用线接轨，在铁门站6道办理作业，利用车站的调机负责取送作业。</w:t>
      </w:r>
    </w:p>
    <w:p w14:paraId="2F4F9E6A">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电厂铁路专用线主要技术标准：</w:t>
      </w:r>
    </w:p>
    <w:p w14:paraId="05129E46">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铁路等级：</w:t>
      </w:r>
      <w:r>
        <w:rPr>
          <w:rFonts w:hint="eastAsia" w:ascii="宋体" w:hAnsi="宋体" w:eastAsia="宋体" w:cs="Arial"/>
          <w:snapToGrid w:val="0"/>
          <w:color w:val="auto"/>
          <w:sz w:val="24"/>
          <w:szCs w:val="24"/>
          <w:highlight w:val="none"/>
        </w:rPr>
        <w:t xml:space="preserve">  工企Ⅱ级</w:t>
      </w:r>
    </w:p>
    <w:p w14:paraId="4F7BD839">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正线数目：单线</w:t>
      </w:r>
    </w:p>
    <w:p w14:paraId="1AE29EBE">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最小曲线半径：一般地段</w:t>
      </w:r>
      <w:r>
        <w:rPr>
          <w:rFonts w:hint="eastAsia" w:ascii="宋体" w:hAnsi="宋体" w:eastAsia="宋体" w:cs="Arial"/>
          <w:snapToGrid w:val="0"/>
          <w:color w:val="auto"/>
          <w:sz w:val="24"/>
          <w:szCs w:val="24"/>
          <w:highlight w:val="none"/>
        </w:rPr>
        <w:t>350</w:t>
      </w:r>
      <w:r>
        <w:rPr>
          <w:rFonts w:ascii="宋体" w:hAnsi="宋体" w:eastAsia="宋体" w:cs="Arial"/>
          <w:snapToGrid w:val="0"/>
          <w:color w:val="auto"/>
          <w:sz w:val="24"/>
          <w:szCs w:val="24"/>
          <w:highlight w:val="none"/>
        </w:rPr>
        <w:t>m，困难地段</w:t>
      </w:r>
      <w:r>
        <w:rPr>
          <w:rFonts w:hint="eastAsia" w:ascii="宋体" w:hAnsi="宋体" w:eastAsia="宋体" w:cs="Arial"/>
          <w:snapToGrid w:val="0"/>
          <w:color w:val="auto"/>
          <w:sz w:val="24"/>
          <w:szCs w:val="24"/>
          <w:highlight w:val="none"/>
        </w:rPr>
        <w:t>300</w:t>
      </w:r>
      <w:r>
        <w:rPr>
          <w:rFonts w:ascii="宋体" w:hAnsi="宋体" w:eastAsia="宋体" w:cs="Arial"/>
          <w:snapToGrid w:val="0"/>
          <w:color w:val="auto"/>
          <w:sz w:val="24"/>
          <w:szCs w:val="24"/>
          <w:highlight w:val="none"/>
        </w:rPr>
        <w:t>m</w:t>
      </w:r>
    </w:p>
    <w:p w14:paraId="2EB72CBD">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限制坡度：</w:t>
      </w:r>
      <w:r>
        <w:rPr>
          <w:rFonts w:hint="eastAsia" w:ascii="宋体" w:hAnsi="宋体" w:eastAsia="宋体" w:cs="Arial"/>
          <w:snapToGrid w:val="0"/>
          <w:color w:val="auto"/>
          <w:sz w:val="24"/>
          <w:szCs w:val="24"/>
          <w:highlight w:val="none"/>
        </w:rPr>
        <w:t xml:space="preserve">  13‰</w:t>
      </w:r>
    </w:p>
    <w:p w14:paraId="165C6F12">
      <w:pPr>
        <w:tabs>
          <w:tab w:val="left" w:pos="90"/>
        </w:tabs>
        <w:spacing w:line="240" w:lineRule="exact"/>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牵引种类：</w:t>
      </w:r>
      <w:r>
        <w:rPr>
          <w:rFonts w:hint="eastAsia" w:ascii="宋体" w:hAnsi="宋体" w:eastAsia="宋体" w:cs="Arial"/>
          <w:snapToGrid w:val="0"/>
          <w:color w:val="auto"/>
          <w:sz w:val="24"/>
          <w:szCs w:val="24"/>
          <w:highlight w:val="none"/>
        </w:rPr>
        <w:t xml:space="preserve">  电力牵引</w:t>
      </w:r>
    </w:p>
    <w:p w14:paraId="1DFF704F">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机车</w:t>
      </w:r>
      <w:r>
        <w:rPr>
          <w:rFonts w:ascii="宋体" w:hAnsi="宋体" w:eastAsia="宋体" w:cs="Arial"/>
          <w:snapToGrid w:val="0"/>
          <w:color w:val="auto"/>
          <w:sz w:val="24"/>
          <w:szCs w:val="24"/>
          <w:highlight w:val="none"/>
        </w:rPr>
        <w:t>种类：</w:t>
      </w:r>
      <w:r>
        <w:rPr>
          <w:rFonts w:hint="eastAsia" w:ascii="宋体" w:hAnsi="宋体" w:eastAsia="宋体" w:cs="Arial"/>
          <w:snapToGrid w:val="0"/>
          <w:color w:val="auto"/>
          <w:sz w:val="24"/>
          <w:szCs w:val="24"/>
          <w:highlight w:val="none"/>
        </w:rPr>
        <w:t xml:space="preserve">  SS4</w:t>
      </w:r>
    </w:p>
    <w:p w14:paraId="1ACDCB04">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牵引定数：  4000t</w:t>
      </w:r>
    </w:p>
    <w:p w14:paraId="3D07EF36">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到发线有效长： 880</w:t>
      </w:r>
      <w:r>
        <w:rPr>
          <w:rFonts w:ascii="宋体" w:hAnsi="宋体" w:eastAsia="宋体" w:cs="Arial"/>
          <w:snapToGrid w:val="0"/>
          <w:color w:val="auto"/>
          <w:sz w:val="24"/>
          <w:szCs w:val="24"/>
          <w:highlight w:val="none"/>
        </w:rPr>
        <w:t>m</w:t>
      </w:r>
    </w:p>
    <w:p w14:paraId="0ABBCC41">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闭塞类型：  场间联系</w:t>
      </w:r>
    </w:p>
    <w:p w14:paraId="04330054">
      <w:pPr>
        <w:spacing w:line="240" w:lineRule="exact"/>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（2） 公路运输</w:t>
      </w:r>
    </w:p>
    <w:p w14:paraId="517FCE0C">
      <w:pPr>
        <w:tabs>
          <w:tab w:val="left" w:pos="90"/>
        </w:tabs>
        <w:spacing w:line="240" w:lineRule="exact"/>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根据厂区现状</w:t>
      </w:r>
      <w:r>
        <w:rPr>
          <w:rFonts w:ascii="宋体" w:hAnsi="宋体" w:eastAsia="宋体" w:cs="Arial"/>
          <w:snapToGrid w:val="0"/>
          <w:color w:val="auto"/>
          <w:sz w:val="24"/>
          <w:szCs w:val="24"/>
          <w:highlight w:val="none"/>
        </w:rPr>
        <w:t>,</w:t>
      </w:r>
      <w:r>
        <w:rPr>
          <w:rFonts w:hint="eastAsia" w:ascii="宋体" w:hAnsi="宋体" w:eastAsia="宋体" w:cs="Arial"/>
          <w:snapToGrid w:val="0"/>
          <w:color w:val="auto"/>
          <w:sz w:val="24"/>
          <w:szCs w:val="24"/>
          <w:highlight w:val="none"/>
        </w:rPr>
        <w:t xml:space="preserve"> 电厂现有进厂道路从310国道引接，本期利用一期进厂道路；运煤道路从310国道引接，长度约835m。</w:t>
      </w:r>
    </w:p>
    <w:p w14:paraId="4F352D3B">
      <w:pPr>
        <w:spacing w:line="360" w:lineRule="auto"/>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（3）电厂大件运输</w:t>
      </w:r>
    </w:p>
    <w:p w14:paraId="695667DA">
      <w:pPr>
        <w:pStyle w:val="282"/>
        <w:wordWrap/>
        <w:overflowPunct/>
        <w:autoSpaceDE/>
        <w:autoSpaceDN/>
        <w:snapToGrid w:val="0"/>
        <w:spacing w:line="360" w:lineRule="auto"/>
        <w:ind w:firstLineChars="200"/>
        <w:rPr>
          <w:rFonts w:hAnsi="宋体" w:cs="Arial"/>
          <w:snapToGrid w:val="0"/>
          <w:color w:val="auto"/>
          <w:szCs w:val="24"/>
          <w:highlight w:val="none"/>
        </w:rPr>
      </w:pPr>
      <w:r>
        <w:rPr>
          <w:rFonts w:hint="eastAsia" w:hAnsi="宋体" w:cs="Arial"/>
          <w:snapToGrid w:val="0"/>
          <w:color w:val="auto"/>
          <w:szCs w:val="24"/>
          <w:highlight w:val="none"/>
        </w:rPr>
        <w:t>由投标人根据本项目厂址交通运输条件选择合理的运输方案，提出大件运输路径及方案，制定出合理详细的大件运输方案。</w:t>
      </w:r>
    </w:p>
    <w:p w14:paraId="3A2813DB">
      <w:pPr>
        <w:tabs>
          <w:tab w:val="left" w:pos="90"/>
        </w:tabs>
        <w:spacing w:line="360" w:lineRule="auto"/>
        <w:rPr>
          <w:rFonts w:ascii="宋体" w:hAnsi="宋体" w:eastAsia="宋体"/>
          <w:color w:val="auto"/>
          <w:sz w:val="24"/>
          <w:szCs w:val="24"/>
          <w:highlight w:val="none"/>
        </w:rPr>
      </w:pPr>
      <w:r>
        <w:rPr>
          <w:rFonts w:hint="eastAsia" w:ascii="宋体" w:hAnsi="宋体" w:eastAsia="宋体"/>
          <w:snapToGrid w:val="0"/>
          <w:color w:val="auto"/>
          <w:sz w:val="24"/>
          <w:szCs w:val="24"/>
          <w:highlight w:val="none"/>
        </w:rPr>
        <w:t>2.2.5  气象条件</w:t>
      </w:r>
    </w:p>
    <w:p w14:paraId="3821003B">
      <w:pPr>
        <w:spacing w:line="360" w:lineRule="auto"/>
        <w:ind w:firstLine="480" w:firstLineChars="200"/>
        <w:rPr>
          <w:rFonts w:ascii="宋体" w:hAnsi="宋体" w:eastAsia="宋体" w:cs="Arial"/>
          <w:snapToGrid w:val="0"/>
          <w:color w:val="auto"/>
          <w:sz w:val="24"/>
          <w:szCs w:val="24"/>
          <w:highlight w:val="none"/>
        </w:rPr>
      </w:pPr>
      <w:r>
        <w:rPr>
          <w:rFonts w:hint="eastAsia" w:ascii="宋体" w:hAnsi="宋体" w:eastAsia="宋体" w:cs="Arial"/>
          <w:snapToGrid w:val="0"/>
          <w:color w:val="auto"/>
          <w:sz w:val="24"/>
          <w:szCs w:val="24"/>
          <w:highlight w:val="none"/>
        </w:rPr>
        <w:t>万基宏远</w:t>
      </w:r>
      <w:r>
        <w:rPr>
          <w:rFonts w:ascii="宋体" w:hAnsi="宋体" w:eastAsia="宋体" w:cs="Arial"/>
          <w:snapToGrid w:val="0"/>
          <w:color w:val="auto"/>
          <w:sz w:val="24"/>
          <w:szCs w:val="24"/>
          <w:highlight w:val="none"/>
        </w:rPr>
        <w:t>电厂位于新安县庙头</w:t>
      </w:r>
      <w:r>
        <w:rPr>
          <w:rFonts w:hint="eastAsia" w:ascii="宋体" w:hAnsi="宋体" w:eastAsia="宋体" w:cs="Arial"/>
          <w:snapToGrid w:val="0"/>
          <w:color w:val="auto"/>
          <w:sz w:val="24"/>
          <w:szCs w:val="24"/>
          <w:highlight w:val="none"/>
        </w:rPr>
        <w:t>村</w:t>
      </w:r>
      <w:r>
        <w:rPr>
          <w:rFonts w:ascii="宋体" w:hAnsi="宋体" w:eastAsia="宋体" w:cs="Arial"/>
          <w:snapToGrid w:val="0"/>
          <w:color w:val="auto"/>
          <w:sz w:val="24"/>
          <w:szCs w:val="24"/>
          <w:highlight w:val="none"/>
        </w:rPr>
        <w:t>东南，陇海铁路和310国道之间，涧河北岸，厂址以南约1.5km为涧河，</w:t>
      </w:r>
      <w:r>
        <w:rPr>
          <w:rFonts w:hint="eastAsia" w:ascii="宋体" w:hAnsi="宋体" w:eastAsia="宋体" w:cs="Arial"/>
          <w:snapToGrid w:val="0"/>
          <w:color w:val="auto"/>
          <w:sz w:val="24"/>
          <w:szCs w:val="24"/>
          <w:highlight w:val="none"/>
        </w:rPr>
        <w:t>建设</w:t>
      </w:r>
      <w:r>
        <w:rPr>
          <w:rFonts w:ascii="宋体" w:hAnsi="宋体" w:eastAsia="宋体" w:cs="Arial"/>
          <w:snapToGrid w:val="0"/>
          <w:color w:val="auto"/>
          <w:sz w:val="24"/>
          <w:szCs w:val="24"/>
          <w:highlight w:val="none"/>
        </w:rPr>
        <w:t>2×600MW级机组，</w:t>
      </w:r>
      <w:r>
        <w:rPr>
          <w:rFonts w:hint="eastAsia" w:ascii="宋体" w:hAnsi="宋体" w:eastAsia="宋体" w:cs="Arial"/>
          <w:snapToGrid w:val="0"/>
          <w:color w:val="auto"/>
          <w:sz w:val="24"/>
          <w:szCs w:val="24"/>
          <w:highlight w:val="none"/>
        </w:rPr>
        <w:t>主厂区</w:t>
      </w:r>
      <w:r>
        <w:rPr>
          <w:rFonts w:ascii="宋体" w:hAnsi="宋体" w:eastAsia="宋体" w:cs="Arial"/>
          <w:snapToGrid w:val="0"/>
          <w:color w:val="auto"/>
          <w:sz w:val="24"/>
          <w:szCs w:val="24"/>
          <w:highlight w:val="none"/>
        </w:rPr>
        <w:t>地面高程在</w:t>
      </w:r>
      <w:r>
        <w:rPr>
          <w:rFonts w:hint="eastAsia" w:ascii="宋体" w:hAnsi="宋体" w:eastAsia="宋体" w:cs="Arial"/>
          <w:snapToGrid w:val="0"/>
          <w:color w:val="auto"/>
          <w:sz w:val="24"/>
          <w:szCs w:val="24"/>
          <w:highlight w:val="none"/>
        </w:rPr>
        <w:t>306.0</w:t>
      </w:r>
      <w:r>
        <w:rPr>
          <w:rFonts w:ascii="宋体" w:hAnsi="宋体" w:eastAsia="宋体" w:cs="Arial"/>
          <w:snapToGrid w:val="0"/>
          <w:color w:val="auto"/>
          <w:sz w:val="24"/>
          <w:szCs w:val="24"/>
          <w:highlight w:val="none"/>
        </w:rPr>
        <w:t>～3</w:t>
      </w:r>
      <w:r>
        <w:rPr>
          <w:rFonts w:hint="eastAsia" w:ascii="宋体" w:hAnsi="宋体" w:eastAsia="宋体" w:cs="Arial"/>
          <w:snapToGrid w:val="0"/>
          <w:color w:val="auto"/>
          <w:sz w:val="24"/>
          <w:szCs w:val="24"/>
          <w:highlight w:val="none"/>
        </w:rPr>
        <w:t>15.0</w:t>
      </w:r>
      <w:r>
        <w:rPr>
          <w:rFonts w:ascii="宋体" w:hAnsi="宋体" w:eastAsia="宋体" w:cs="Arial"/>
          <w:snapToGrid w:val="0"/>
          <w:color w:val="auto"/>
          <w:sz w:val="24"/>
          <w:szCs w:val="24"/>
          <w:highlight w:val="none"/>
        </w:rPr>
        <w:t>m之间，</w:t>
      </w:r>
      <w:r>
        <w:rPr>
          <w:rFonts w:hint="eastAsia" w:ascii="宋体" w:hAnsi="宋体" w:eastAsia="宋体" w:cs="Arial"/>
          <w:snapToGrid w:val="0"/>
          <w:color w:val="auto"/>
          <w:sz w:val="24"/>
          <w:szCs w:val="24"/>
          <w:highlight w:val="none"/>
        </w:rPr>
        <w:t>煤场区地面高程在320.0m～331.0m之间，</w:t>
      </w:r>
      <w:r>
        <w:rPr>
          <w:rFonts w:ascii="宋体" w:hAnsi="宋体" w:eastAsia="宋体" w:cs="Arial"/>
          <w:snapToGrid w:val="0"/>
          <w:color w:val="auto"/>
          <w:sz w:val="24"/>
          <w:szCs w:val="24"/>
          <w:highlight w:val="none"/>
        </w:rPr>
        <w:t>为自北向南倾斜的黄土丘陵地形。</w:t>
      </w:r>
    </w:p>
    <w:p w14:paraId="70B22A1C">
      <w:pPr>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涧河该段为山前下切型河床，两岸地形相对较高，一般洪水可控制在河槽之内，较大洪水在两岸之间漫滩行洪。根据涧河新安水文站实测洪水资料，结合电厂水文断面自然条件，经分析计算，电厂处涧河百年一遇洪水位为292.37m，低于电厂地面高程，故电厂不受涧河百年一遇洪水威胁。</w:t>
      </w:r>
    </w:p>
    <w:p w14:paraId="298FD104">
      <w:pPr>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新安县气象站位于新安县城郊，北纬34°43’，东径112°09’，观测场地面高程253.0m。</w:t>
      </w:r>
      <w:r>
        <w:rPr>
          <w:rFonts w:hint="eastAsia" w:ascii="宋体" w:hAnsi="宋体" w:eastAsia="宋体" w:cs="Arial"/>
          <w:snapToGrid w:val="0"/>
          <w:color w:val="auto"/>
          <w:sz w:val="24"/>
          <w:szCs w:val="24"/>
          <w:highlight w:val="none"/>
        </w:rPr>
        <w:t>万基控股</w:t>
      </w:r>
      <w:r>
        <w:rPr>
          <w:rFonts w:ascii="宋体" w:hAnsi="宋体" w:eastAsia="宋体" w:cs="Arial"/>
          <w:snapToGrid w:val="0"/>
          <w:color w:val="auto"/>
          <w:sz w:val="24"/>
          <w:szCs w:val="24"/>
          <w:highlight w:val="none"/>
        </w:rPr>
        <w:t>电厂在气象站以西约8.0km的范围内，自然地理气候条件基本一致，皆属同一气候区域，采用新安气象站观测资料具有较好的代表性。</w:t>
      </w:r>
    </w:p>
    <w:p w14:paraId="09828F80">
      <w:pPr>
        <w:spacing w:line="360" w:lineRule="auto"/>
        <w:ind w:firstLine="480" w:firstLineChars="200"/>
        <w:rPr>
          <w:rFonts w:ascii="宋体" w:hAnsi="宋体" w:eastAsia="宋体" w:cs="Arial"/>
          <w:snapToGrid w:val="0"/>
          <w:color w:val="auto"/>
          <w:sz w:val="24"/>
          <w:szCs w:val="24"/>
          <w:highlight w:val="none"/>
        </w:rPr>
      </w:pPr>
      <w:r>
        <w:rPr>
          <w:rFonts w:ascii="宋体" w:hAnsi="宋体" w:eastAsia="宋体" w:cs="Arial"/>
          <w:snapToGrid w:val="0"/>
          <w:color w:val="auto"/>
          <w:sz w:val="24"/>
          <w:szCs w:val="24"/>
          <w:highlight w:val="none"/>
        </w:rPr>
        <w:t>根据新安气象站建站～2010年的实测资料，统计的各项气象参数特征值和逐月平均气象条件见表</w:t>
      </w:r>
      <w:r>
        <w:rPr>
          <w:rFonts w:hint="eastAsia" w:ascii="宋体" w:hAnsi="宋体" w:eastAsia="宋体" w:cs="Arial"/>
          <w:snapToGrid w:val="0"/>
          <w:color w:val="auto"/>
          <w:sz w:val="24"/>
          <w:szCs w:val="24"/>
          <w:highlight w:val="none"/>
        </w:rPr>
        <w:t>2.2.5</w:t>
      </w:r>
      <w:r>
        <w:rPr>
          <w:rFonts w:ascii="宋体" w:hAnsi="宋体" w:eastAsia="宋体" w:cs="Arial"/>
          <w:snapToGrid w:val="0"/>
          <w:color w:val="auto"/>
          <w:sz w:val="24"/>
          <w:szCs w:val="24"/>
          <w:highlight w:val="none"/>
        </w:rPr>
        <w:t>-1、</w:t>
      </w:r>
      <w:r>
        <w:rPr>
          <w:rFonts w:hint="eastAsia" w:ascii="宋体" w:hAnsi="宋体" w:eastAsia="宋体" w:cs="Arial"/>
          <w:snapToGrid w:val="0"/>
          <w:color w:val="auto"/>
          <w:sz w:val="24"/>
          <w:szCs w:val="24"/>
          <w:highlight w:val="none"/>
        </w:rPr>
        <w:t>2.2.5</w:t>
      </w:r>
      <w:r>
        <w:rPr>
          <w:rFonts w:ascii="宋体" w:hAnsi="宋体" w:eastAsia="宋体" w:cs="Arial"/>
          <w:snapToGrid w:val="0"/>
          <w:color w:val="auto"/>
          <w:sz w:val="24"/>
          <w:szCs w:val="24"/>
          <w:highlight w:val="none"/>
        </w:rPr>
        <w:t>-2。</w:t>
      </w:r>
    </w:p>
    <w:p w14:paraId="0E7824E5">
      <w:pPr>
        <w:spacing w:line="520" w:lineRule="exact"/>
        <w:ind w:right="-118" w:rightChars="-56" w:firstLine="240" w:firstLineChars="100"/>
        <w:rPr>
          <w:rFonts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 xml:space="preserve">      表2.2.5-1     新安县气象站气象特征值表</w:t>
      </w:r>
    </w:p>
    <w:tbl>
      <w:tblPr>
        <w:tblStyle w:val="58"/>
        <w:tblW w:w="87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635"/>
        <w:gridCol w:w="1276"/>
        <w:gridCol w:w="1417"/>
        <w:gridCol w:w="1470"/>
        <w:gridCol w:w="1958"/>
      </w:tblGrid>
      <w:tr w14:paraId="16CCC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2635" w:type="dxa"/>
            <w:vAlign w:val="center"/>
          </w:tcPr>
          <w:p w14:paraId="25B2CB68">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项    目</w:t>
            </w:r>
          </w:p>
        </w:tc>
        <w:tc>
          <w:tcPr>
            <w:tcW w:w="1276" w:type="dxa"/>
            <w:vAlign w:val="center"/>
          </w:tcPr>
          <w:p w14:paraId="2079FF1B">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单位</w:t>
            </w:r>
          </w:p>
        </w:tc>
        <w:tc>
          <w:tcPr>
            <w:tcW w:w="1417" w:type="dxa"/>
            <w:vAlign w:val="center"/>
          </w:tcPr>
          <w:p w14:paraId="445AD763">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特征值</w:t>
            </w:r>
          </w:p>
        </w:tc>
        <w:tc>
          <w:tcPr>
            <w:tcW w:w="1470" w:type="dxa"/>
            <w:vAlign w:val="center"/>
          </w:tcPr>
          <w:p w14:paraId="5A158EE2">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出现时间</w:t>
            </w:r>
          </w:p>
        </w:tc>
        <w:tc>
          <w:tcPr>
            <w:tcW w:w="1958" w:type="dxa"/>
            <w:vAlign w:val="center"/>
          </w:tcPr>
          <w:p w14:paraId="72BA7720">
            <w:pPr>
              <w:spacing w:beforeLines="20" w:afterLines="2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统计年限</w:t>
            </w:r>
          </w:p>
        </w:tc>
      </w:tr>
      <w:tr w14:paraId="3F829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35" w:type="dxa"/>
            <w:vAlign w:val="center"/>
          </w:tcPr>
          <w:p w14:paraId="6ABA5D67">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多年平均气温</w:t>
            </w:r>
          </w:p>
        </w:tc>
        <w:tc>
          <w:tcPr>
            <w:tcW w:w="1276" w:type="dxa"/>
            <w:vAlign w:val="center"/>
          </w:tcPr>
          <w:p w14:paraId="71F9582B">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7DAF7BF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14.5</w:t>
            </w:r>
          </w:p>
        </w:tc>
        <w:tc>
          <w:tcPr>
            <w:tcW w:w="1470" w:type="dxa"/>
            <w:vAlign w:val="center"/>
          </w:tcPr>
          <w:p w14:paraId="7F542812">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3FF9614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424C9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35" w:type="dxa"/>
            <w:vAlign w:val="center"/>
          </w:tcPr>
          <w:p w14:paraId="61E66E9D">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多年平均气压</w:t>
            </w:r>
          </w:p>
        </w:tc>
        <w:tc>
          <w:tcPr>
            <w:tcW w:w="1276" w:type="dxa"/>
            <w:vAlign w:val="center"/>
          </w:tcPr>
          <w:p w14:paraId="703E407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hPa</w:t>
            </w:r>
          </w:p>
        </w:tc>
        <w:tc>
          <w:tcPr>
            <w:tcW w:w="1417" w:type="dxa"/>
            <w:vAlign w:val="center"/>
          </w:tcPr>
          <w:p w14:paraId="302D7AD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985.4</w:t>
            </w:r>
          </w:p>
        </w:tc>
        <w:tc>
          <w:tcPr>
            <w:tcW w:w="1470" w:type="dxa"/>
            <w:vAlign w:val="center"/>
          </w:tcPr>
          <w:p w14:paraId="4231FE8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2A3C92C6">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50B9A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2635" w:type="dxa"/>
            <w:vAlign w:val="center"/>
          </w:tcPr>
          <w:p w14:paraId="6EEC352E">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多年平均风速</w:t>
            </w:r>
          </w:p>
        </w:tc>
        <w:tc>
          <w:tcPr>
            <w:tcW w:w="1276" w:type="dxa"/>
            <w:vAlign w:val="center"/>
          </w:tcPr>
          <w:p w14:paraId="6E02A24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m/s</w:t>
            </w:r>
          </w:p>
        </w:tc>
        <w:tc>
          <w:tcPr>
            <w:tcW w:w="1417" w:type="dxa"/>
            <w:vAlign w:val="center"/>
          </w:tcPr>
          <w:p w14:paraId="2D7A47A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2.4</w:t>
            </w:r>
          </w:p>
        </w:tc>
        <w:tc>
          <w:tcPr>
            <w:tcW w:w="1470" w:type="dxa"/>
            <w:vAlign w:val="center"/>
          </w:tcPr>
          <w:p w14:paraId="61A466A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404B7AD8">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40DB9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65DB85D9">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多年平均降水量</w:t>
            </w:r>
          </w:p>
        </w:tc>
        <w:tc>
          <w:tcPr>
            <w:tcW w:w="1276" w:type="dxa"/>
            <w:vAlign w:val="center"/>
          </w:tcPr>
          <w:p w14:paraId="152D925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mm</w:t>
            </w:r>
          </w:p>
        </w:tc>
        <w:tc>
          <w:tcPr>
            <w:tcW w:w="1417" w:type="dxa"/>
            <w:vAlign w:val="center"/>
          </w:tcPr>
          <w:p w14:paraId="09A5884A">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644.9</w:t>
            </w:r>
          </w:p>
        </w:tc>
        <w:tc>
          <w:tcPr>
            <w:tcW w:w="1470" w:type="dxa"/>
            <w:vAlign w:val="center"/>
          </w:tcPr>
          <w:p w14:paraId="3527618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07020A1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66042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73BA6C28">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多年平均相对湿度</w:t>
            </w:r>
          </w:p>
        </w:tc>
        <w:tc>
          <w:tcPr>
            <w:tcW w:w="1276" w:type="dxa"/>
            <w:vAlign w:val="center"/>
          </w:tcPr>
          <w:p w14:paraId="7C16A5C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6D1FA44A">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65</w:t>
            </w:r>
          </w:p>
        </w:tc>
        <w:tc>
          <w:tcPr>
            <w:tcW w:w="1470" w:type="dxa"/>
            <w:vAlign w:val="center"/>
          </w:tcPr>
          <w:p w14:paraId="0F447A9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1BE42499">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建站～2010</w:t>
            </w:r>
          </w:p>
        </w:tc>
      </w:tr>
      <w:tr w14:paraId="667EBF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0B98C901">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多年平均雷暴日数</w:t>
            </w:r>
          </w:p>
        </w:tc>
        <w:tc>
          <w:tcPr>
            <w:tcW w:w="1276" w:type="dxa"/>
            <w:vAlign w:val="center"/>
          </w:tcPr>
          <w:p w14:paraId="1DAA771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d</w:t>
            </w:r>
          </w:p>
        </w:tc>
        <w:tc>
          <w:tcPr>
            <w:tcW w:w="1417" w:type="dxa"/>
            <w:vAlign w:val="center"/>
          </w:tcPr>
          <w:p w14:paraId="6ED075A7">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21</w:t>
            </w:r>
          </w:p>
        </w:tc>
        <w:tc>
          <w:tcPr>
            <w:tcW w:w="1470" w:type="dxa"/>
            <w:vAlign w:val="center"/>
          </w:tcPr>
          <w:p w14:paraId="4DA0C43F">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958" w:type="dxa"/>
            <w:vAlign w:val="center"/>
          </w:tcPr>
          <w:p w14:paraId="479AD8D9">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578FC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5C13D6A8">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极端最高气温</w:t>
            </w:r>
          </w:p>
        </w:tc>
        <w:tc>
          <w:tcPr>
            <w:tcW w:w="1276" w:type="dxa"/>
            <w:vAlign w:val="center"/>
          </w:tcPr>
          <w:p w14:paraId="78428B4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02AA02C5">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44.0</w:t>
            </w:r>
          </w:p>
        </w:tc>
        <w:tc>
          <w:tcPr>
            <w:tcW w:w="1470" w:type="dxa"/>
            <w:vAlign w:val="center"/>
          </w:tcPr>
          <w:p w14:paraId="2E3183A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66.6.20</w:t>
            </w:r>
          </w:p>
        </w:tc>
        <w:tc>
          <w:tcPr>
            <w:tcW w:w="1958" w:type="dxa"/>
            <w:vAlign w:val="center"/>
          </w:tcPr>
          <w:p w14:paraId="72A8675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6D334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355939B">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极端最低气温</w:t>
            </w:r>
          </w:p>
        </w:tc>
        <w:tc>
          <w:tcPr>
            <w:tcW w:w="1276" w:type="dxa"/>
            <w:vAlign w:val="center"/>
          </w:tcPr>
          <w:p w14:paraId="192AE7A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w:t>
            </w:r>
          </w:p>
        </w:tc>
        <w:tc>
          <w:tcPr>
            <w:tcW w:w="1417" w:type="dxa"/>
            <w:vAlign w:val="center"/>
          </w:tcPr>
          <w:p w14:paraId="4F10CA9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-17.1</w:t>
            </w:r>
          </w:p>
        </w:tc>
        <w:tc>
          <w:tcPr>
            <w:tcW w:w="1470" w:type="dxa"/>
            <w:vAlign w:val="center"/>
          </w:tcPr>
          <w:p w14:paraId="71A51D21">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69.1.31</w:t>
            </w:r>
          </w:p>
        </w:tc>
        <w:tc>
          <w:tcPr>
            <w:tcW w:w="1958" w:type="dxa"/>
            <w:vAlign w:val="center"/>
          </w:tcPr>
          <w:p w14:paraId="02F77D4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501AA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29" w:hRule="atLeast"/>
          <w:jc w:val="center"/>
        </w:trPr>
        <w:tc>
          <w:tcPr>
            <w:tcW w:w="2635" w:type="dxa"/>
            <w:vAlign w:val="center"/>
          </w:tcPr>
          <w:p w14:paraId="308EF329">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定时最大风速</w:t>
            </w:r>
          </w:p>
        </w:tc>
        <w:tc>
          <w:tcPr>
            <w:tcW w:w="1276" w:type="dxa"/>
            <w:vAlign w:val="center"/>
          </w:tcPr>
          <w:p w14:paraId="7A722DC2">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m/s</w:t>
            </w:r>
          </w:p>
        </w:tc>
        <w:tc>
          <w:tcPr>
            <w:tcW w:w="1417" w:type="dxa"/>
            <w:vAlign w:val="center"/>
          </w:tcPr>
          <w:p w14:paraId="1EA1983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20.0</w:t>
            </w:r>
          </w:p>
        </w:tc>
        <w:tc>
          <w:tcPr>
            <w:tcW w:w="1470" w:type="dxa"/>
            <w:vAlign w:val="center"/>
          </w:tcPr>
          <w:p w14:paraId="3EF376F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85.8.13</w:t>
            </w:r>
          </w:p>
        </w:tc>
        <w:tc>
          <w:tcPr>
            <w:tcW w:w="1958" w:type="dxa"/>
            <w:vAlign w:val="center"/>
          </w:tcPr>
          <w:p w14:paraId="6BF9418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26A57F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2635" w:type="dxa"/>
            <w:vAlign w:val="center"/>
          </w:tcPr>
          <w:p w14:paraId="42C8E142">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最大一日降水量</w:t>
            </w:r>
          </w:p>
        </w:tc>
        <w:tc>
          <w:tcPr>
            <w:tcW w:w="1276" w:type="dxa"/>
            <w:vAlign w:val="center"/>
          </w:tcPr>
          <w:p w14:paraId="7EAED0E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mm</w:t>
            </w:r>
          </w:p>
        </w:tc>
        <w:tc>
          <w:tcPr>
            <w:tcW w:w="1417" w:type="dxa"/>
            <w:vAlign w:val="center"/>
          </w:tcPr>
          <w:p w14:paraId="34A5C984">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184.5</w:t>
            </w:r>
          </w:p>
        </w:tc>
        <w:tc>
          <w:tcPr>
            <w:tcW w:w="1470" w:type="dxa"/>
            <w:vAlign w:val="center"/>
          </w:tcPr>
          <w:p w14:paraId="63D628E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82.7.30</w:t>
            </w:r>
          </w:p>
        </w:tc>
        <w:tc>
          <w:tcPr>
            <w:tcW w:w="1958" w:type="dxa"/>
            <w:vAlign w:val="center"/>
          </w:tcPr>
          <w:p w14:paraId="0151E5F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64E98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4FCDD83">
            <w:pPr>
              <w:spacing w:beforeLines="10" w:afterLines="10"/>
              <w:rPr>
                <w:rFonts w:asciiTheme="majorEastAsia" w:hAnsiTheme="majorEastAsia" w:eastAsiaTheme="majorEastAsia"/>
                <w:color w:val="auto"/>
                <w:sz w:val="24"/>
                <w:szCs w:val="24"/>
                <w:highlight w:val="none"/>
                <w:vertAlign w:val="superscript"/>
              </w:rPr>
            </w:pPr>
            <w:r>
              <w:rPr>
                <w:rFonts w:asciiTheme="majorEastAsia" w:hAnsiTheme="majorEastAsia" w:eastAsiaTheme="majorEastAsia"/>
                <w:color w:val="auto"/>
                <w:sz w:val="24"/>
                <w:szCs w:val="24"/>
                <w:highlight w:val="none"/>
              </w:rPr>
              <w:t>最大积雪深度</w:t>
            </w:r>
          </w:p>
        </w:tc>
        <w:tc>
          <w:tcPr>
            <w:tcW w:w="1276" w:type="dxa"/>
            <w:vAlign w:val="center"/>
          </w:tcPr>
          <w:p w14:paraId="3F3E03CB">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cm</w:t>
            </w:r>
          </w:p>
        </w:tc>
        <w:tc>
          <w:tcPr>
            <w:tcW w:w="1417" w:type="dxa"/>
            <w:vAlign w:val="center"/>
          </w:tcPr>
          <w:p w14:paraId="74802895">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33</w:t>
            </w:r>
          </w:p>
        </w:tc>
        <w:tc>
          <w:tcPr>
            <w:tcW w:w="1470" w:type="dxa"/>
            <w:vAlign w:val="center"/>
          </w:tcPr>
          <w:p w14:paraId="4F66574A">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71.12.24</w:t>
            </w:r>
          </w:p>
        </w:tc>
        <w:tc>
          <w:tcPr>
            <w:tcW w:w="1958" w:type="dxa"/>
            <w:vAlign w:val="center"/>
          </w:tcPr>
          <w:p w14:paraId="764E006D">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497E5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E7F869B">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最大冻土厚度</w:t>
            </w:r>
          </w:p>
        </w:tc>
        <w:tc>
          <w:tcPr>
            <w:tcW w:w="1276" w:type="dxa"/>
            <w:vAlign w:val="center"/>
          </w:tcPr>
          <w:p w14:paraId="229B605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cm</w:t>
            </w:r>
          </w:p>
        </w:tc>
        <w:tc>
          <w:tcPr>
            <w:tcW w:w="1417" w:type="dxa"/>
            <w:vAlign w:val="center"/>
          </w:tcPr>
          <w:p w14:paraId="07D62599">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18</w:t>
            </w:r>
          </w:p>
        </w:tc>
        <w:tc>
          <w:tcPr>
            <w:tcW w:w="1470" w:type="dxa"/>
            <w:vAlign w:val="center"/>
          </w:tcPr>
          <w:p w14:paraId="2676B936">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77.1.7</w:t>
            </w:r>
          </w:p>
        </w:tc>
        <w:tc>
          <w:tcPr>
            <w:tcW w:w="1958" w:type="dxa"/>
            <w:vAlign w:val="center"/>
          </w:tcPr>
          <w:p w14:paraId="60DB19D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2A52F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29" w:hRule="atLeast"/>
          <w:jc w:val="center"/>
        </w:trPr>
        <w:tc>
          <w:tcPr>
            <w:tcW w:w="2635" w:type="dxa"/>
            <w:vAlign w:val="center"/>
          </w:tcPr>
          <w:p w14:paraId="68F13C38">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最大年降水量</w:t>
            </w:r>
          </w:p>
        </w:tc>
        <w:tc>
          <w:tcPr>
            <w:tcW w:w="1276" w:type="dxa"/>
            <w:vAlign w:val="center"/>
          </w:tcPr>
          <w:p w14:paraId="220BE9D5">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mm</w:t>
            </w:r>
          </w:p>
        </w:tc>
        <w:tc>
          <w:tcPr>
            <w:tcW w:w="1417" w:type="dxa"/>
            <w:vAlign w:val="center"/>
          </w:tcPr>
          <w:p w14:paraId="0EF98028">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948.5</w:t>
            </w:r>
          </w:p>
        </w:tc>
        <w:tc>
          <w:tcPr>
            <w:tcW w:w="1470" w:type="dxa"/>
            <w:vAlign w:val="center"/>
          </w:tcPr>
          <w:p w14:paraId="774F0E4E">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1973</w:t>
            </w:r>
          </w:p>
        </w:tc>
        <w:tc>
          <w:tcPr>
            <w:tcW w:w="1958" w:type="dxa"/>
            <w:vAlign w:val="center"/>
          </w:tcPr>
          <w:p w14:paraId="47A62D72">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r w14:paraId="0D311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2635" w:type="dxa"/>
            <w:vAlign w:val="center"/>
          </w:tcPr>
          <w:p w14:paraId="6710854E">
            <w:pPr>
              <w:spacing w:beforeLines="10" w:afterLines="10"/>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年最多雷暴日数</w:t>
            </w:r>
          </w:p>
        </w:tc>
        <w:tc>
          <w:tcPr>
            <w:tcW w:w="1276" w:type="dxa"/>
            <w:vAlign w:val="center"/>
          </w:tcPr>
          <w:p w14:paraId="6196847C">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d</w:t>
            </w:r>
          </w:p>
        </w:tc>
        <w:tc>
          <w:tcPr>
            <w:tcW w:w="1417" w:type="dxa"/>
            <w:vAlign w:val="center"/>
          </w:tcPr>
          <w:p w14:paraId="7A211633">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37</w:t>
            </w:r>
          </w:p>
        </w:tc>
        <w:tc>
          <w:tcPr>
            <w:tcW w:w="1470" w:type="dxa"/>
            <w:vAlign w:val="center"/>
          </w:tcPr>
          <w:p w14:paraId="0E32BB9F">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1977</w:t>
            </w:r>
          </w:p>
        </w:tc>
        <w:tc>
          <w:tcPr>
            <w:tcW w:w="1958" w:type="dxa"/>
            <w:vAlign w:val="center"/>
          </w:tcPr>
          <w:p w14:paraId="33DDF1C0">
            <w:pPr>
              <w:spacing w:beforeLines="10" w:afterLines="10"/>
              <w:jc w:val="center"/>
              <w:rPr>
                <w:rFonts w:asciiTheme="majorEastAsia" w:hAnsiTheme="majorEastAsia" w:eastAsiaTheme="majorEastAsia"/>
                <w:color w:val="auto"/>
                <w:sz w:val="24"/>
                <w:szCs w:val="24"/>
                <w:highlight w:val="none"/>
              </w:rPr>
            </w:pPr>
            <w:r>
              <w:rPr>
                <w:rFonts w:asciiTheme="majorEastAsia" w:hAnsiTheme="majorEastAsia" w:eastAsiaTheme="majorEastAsia"/>
                <w:color w:val="auto"/>
                <w:sz w:val="24"/>
                <w:szCs w:val="24"/>
                <w:highlight w:val="none"/>
              </w:rPr>
              <w:t>建站～2005</w:t>
            </w:r>
          </w:p>
        </w:tc>
      </w:tr>
    </w:tbl>
    <w:p w14:paraId="00BD82C1">
      <w:pPr>
        <w:spacing w:line="520" w:lineRule="exact"/>
        <w:ind w:right="-118" w:rightChars="-56" w:firstLine="360" w:firstLineChars="150"/>
        <w:rPr>
          <w:rFonts w:cs="Times New Roman" w:asciiTheme="majorEastAsia" w:hAnsiTheme="majorEastAsia" w:eastAsiaTheme="majorEastAsia"/>
          <w:color w:val="auto"/>
          <w:sz w:val="24"/>
          <w:szCs w:val="24"/>
          <w:highlight w:val="none"/>
        </w:rPr>
      </w:pPr>
      <w:r>
        <w:rPr>
          <w:rFonts w:cs="Times New Roman" w:asciiTheme="majorEastAsia" w:hAnsiTheme="majorEastAsia" w:eastAsiaTheme="majorEastAsia"/>
          <w:color w:val="auto"/>
          <w:sz w:val="24"/>
          <w:szCs w:val="24"/>
          <w:highlight w:val="none"/>
        </w:rPr>
        <w:t>根据新安县气象站近期五年(2003～2007年)夏季三个月逐日平均湿球温度资料，按逐点统计法计算出P=10%的湿球温度及相应时间的气象条件如表</w:t>
      </w:r>
      <w:r>
        <w:rPr>
          <w:rFonts w:hint="eastAsia" w:cs="Times New Roman" w:asciiTheme="majorEastAsia" w:hAnsiTheme="majorEastAsia" w:eastAsiaTheme="majorEastAsia"/>
          <w:color w:val="auto"/>
          <w:sz w:val="24"/>
          <w:szCs w:val="24"/>
          <w:highlight w:val="none"/>
        </w:rPr>
        <w:t>2.2.5</w:t>
      </w:r>
      <w:r>
        <w:rPr>
          <w:rFonts w:cs="Times New Roman" w:asciiTheme="majorEastAsia" w:hAnsiTheme="majorEastAsia" w:eastAsiaTheme="majorEastAsia"/>
          <w:color w:val="auto"/>
          <w:sz w:val="24"/>
          <w:szCs w:val="24"/>
          <w:highlight w:val="none"/>
        </w:rPr>
        <w:t>-</w:t>
      </w:r>
      <w:r>
        <w:rPr>
          <w:rFonts w:hint="eastAsia" w:cs="Times New Roman" w:asciiTheme="majorEastAsia" w:hAnsiTheme="majorEastAsia" w:eastAsiaTheme="majorEastAsia"/>
          <w:color w:val="auto"/>
          <w:sz w:val="24"/>
          <w:szCs w:val="24"/>
          <w:highlight w:val="none"/>
        </w:rPr>
        <w:t>2</w:t>
      </w:r>
      <w:r>
        <w:rPr>
          <w:rFonts w:cs="Times New Roman" w:asciiTheme="majorEastAsia" w:hAnsiTheme="majorEastAsia" w:eastAsiaTheme="majorEastAsia"/>
          <w:color w:val="auto"/>
          <w:sz w:val="24"/>
          <w:szCs w:val="24"/>
          <w:highlight w:val="none"/>
        </w:rPr>
        <w:t>。</w:t>
      </w:r>
    </w:p>
    <w:p w14:paraId="70D776AD">
      <w:pPr>
        <w:spacing w:line="520" w:lineRule="exact"/>
        <w:ind w:right="-118" w:rightChars="-56" w:firstLine="240" w:firstLineChars="1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表2.2.5-2      新安县气象站(P=10%)的气象条件   </w:t>
      </w:r>
    </w:p>
    <w:tbl>
      <w:tblPr>
        <w:tblStyle w:val="58"/>
        <w:tblW w:w="8789"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1498"/>
        <w:gridCol w:w="1404"/>
        <w:gridCol w:w="1404"/>
        <w:gridCol w:w="1404"/>
        <w:gridCol w:w="1041"/>
      </w:tblGrid>
      <w:tr w14:paraId="7D501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2038" w:type="dxa"/>
            <w:vMerge w:val="restart"/>
            <w:vAlign w:val="center"/>
          </w:tcPr>
          <w:p w14:paraId="30F0246E">
            <w:pPr>
              <w:pStyle w:val="30"/>
              <w:snapToGrid w:val="0"/>
              <w:jc w:val="center"/>
              <w:outlineLvl w:val="0"/>
              <w:rPr>
                <w:rFonts w:cs="Times New Roman" w:asciiTheme="minorEastAsia" w:hAnsiTheme="minorEastAsia" w:eastAsiaTheme="minorEastAsia"/>
                <w:color w:val="auto"/>
                <w:sz w:val="24"/>
                <w:szCs w:val="24"/>
                <w:highlight w:val="none"/>
              </w:rPr>
            </w:pPr>
            <w:bookmarkStart w:id="28" w:name="_Toc332360846"/>
            <w:bookmarkStart w:id="29" w:name="_Toc325206094"/>
            <w:bookmarkStart w:id="30" w:name="_Toc325206183"/>
            <w:r>
              <w:rPr>
                <w:rFonts w:cs="Times New Roman" w:asciiTheme="minorEastAsia" w:hAnsiTheme="minorEastAsia" w:eastAsiaTheme="minorEastAsia"/>
                <w:color w:val="auto"/>
                <w:sz w:val="24"/>
                <w:szCs w:val="24"/>
                <w:highlight w:val="none"/>
              </w:rPr>
              <w:t>出现时间</w:t>
            </w:r>
            <w:bookmarkEnd w:id="28"/>
            <w:bookmarkEnd w:id="29"/>
            <w:bookmarkEnd w:id="30"/>
          </w:p>
        </w:tc>
        <w:tc>
          <w:tcPr>
            <w:tcW w:w="1498" w:type="dxa"/>
            <w:vMerge w:val="restart"/>
            <w:vAlign w:val="center"/>
          </w:tcPr>
          <w:p w14:paraId="17CE9DC8">
            <w:pPr>
              <w:pStyle w:val="30"/>
              <w:snapToGrid w:val="0"/>
              <w:jc w:val="center"/>
              <w:outlineLvl w:val="1"/>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P=10%的湿球温度(℃)</w:t>
            </w:r>
          </w:p>
        </w:tc>
        <w:tc>
          <w:tcPr>
            <w:tcW w:w="5253" w:type="dxa"/>
            <w:gridSpan w:val="4"/>
            <w:vAlign w:val="center"/>
          </w:tcPr>
          <w:p w14:paraId="40364A2D">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相应的日平均气象条件</w:t>
            </w:r>
          </w:p>
        </w:tc>
      </w:tr>
      <w:tr w14:paraId="3DD3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2038" w:type="dxa"/>
            <w:vMerge w:val="continue"/>
          </w:tcPr>
          <w:p w14:paraId="30D6C04C">
            <w:pPr>
              <w:pStyle w:val="30"/>
              <w:ind w:right="1520"/>
              <w:jc w:val="center"/>
              <w:rPr>
                <w:rFonts w:cs="Times New Roman" w:asciiTheme="minorEastAsia" w:hAnsiTheme="minorEastAsia" w:eastAsiaTheme="minorEastAsia"/>
                <w:color w:val="auto"/>
                <w:sz w:val="24"/>
                <w:szCs w:val="24"/>
                <w:highlight w:val="none"/>
              </w:rPr>
            </w:pPr>
          </w:p>
        </w:tc>
        <w:tc>
          <w:tcPr>
            <w:tcW w:w="1498" w:type="dxa"/>
            <w:vMerge w:val="continue"/>
          </w:tcPr>
          <w:p w14:paraId="6648AD61">
            <w:pPr>
              <w:pStyle w:val="30"/>
              <w:snapToGrid w:val="0"/>
              <w:jc w:val="center"/>
              <w:outlineLvl w:val="1"/>
              <w:rPr>
                <w:rFonts w:cs="Times New Roman" w:asciiTheme="minorEastAsia" w:hAnsiTheme="minorEastAsia" w:eastAsiaTheme="minorEastAsia"/>
                <w:color w:val="auto"/>
                <w:sz w:val="24"/>
                <w:szCs w:val="24"/>
                <w:highlight w:val="none"/>
              </w:rPr>
            </w:pPr>
          </w:p>
        </w:tc>
        <w:tc>
          <w:tcPr>
            <w:tcW w:w="1404" w:type="dxa"/>
            <w:vAlign w:val="center"/>
          </w:tcPr>
          <w:p w14:paraId="2B5CF72D">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干球温度(℃)</w:t>
            </w:r>
          </w:p>
        </w:tc>
        <w:tc>
          <w:tcPr>
            <w:tcW w:w="1404" w:type="dxa"/>
            <w:vAlign w:val="center"/>
          </w:tcPr>
          <w:p w14:paraId="14B97550">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相对湿度(%)</w:t>
            </w:r>
          </w:p>
        </w:tc>
        <w:tc>
          <w:tcPr>
            <w:tcW w:w="1404" w:type="dxa"/>
            <w:vAlign w:val="center"/>
          </w:tcPr>
          <w:p w14:paraId="1BA2FCF1">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气压</w:t>
            </w:r>
          </w:p>
          <w:p w14:paraId="16E8E457">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(hpa)</w:t>
            </w:r>
          </w:p>
        </w:tc>
        <w:tc>
          <w:tcPr>
            <w:tcW w:w="1041" w:type="dxa"/>
            <w:vAlign w:val="center"/>
          </w:tcPr>
          <w:p w14:paraId="6DAC9305">
            <w:pPr>
              <w:pStyle w:val="30"/>
              <w:snapToGrid w:val="0"/>
              <w:jc w:val="center"/>
              <w:outlineLvl w:val="0"/>
              <w:rPr>
                <w:rFonts w:cs="Times New Roman" w:asciiTheme="minorEastAsia" w:hAnsiTheme="minorEastAsia" w:eastAsiaTheme="minorEastAsia"/>
                <w:color w:val="auto"/>
                <w:sz w:val="24"/>
                <w:szCs w:val="24"/>
                <w:highlight w:val="none"/>
              </w:rPr>
            </w:pPr>
            <w:bookmarkStart w:id="31" w:name="_Toc332360847"/>
            <w:bookmarkStart w:id="32" w:name="_Toc325206184"/>
            <w:bookmarkStart w:id="33" w:name="_Toc325206095"/>
            <w:r>
              <w:rPr>
                <w:rFonts w:cs="Times New Roman" w:asciiTheme="minorEastAsia" w:hAnsiTheme="minorEastAsia" w:eastAsiaTheme="minorEastAsia"/>
                <w:color w:val="auto"/>
                <w:sz w:val="24"/>
                <w:szCs w:val="24"/>
                <w:highlight w:val="none"/>
              </w:rPr>
              <w:t>风速</w:t>
            </w:r>
            <w:bookmarkEnd w:id="31"/>
            <w:bookmarkEnd w:id="32"/>
            <w:bookmarkEnd w:id="33"/>
          </w:p>
          <w:p w14:paraId="55838B37">
            <w:pPr>
              <w:pStyle w:val="30"/>
              <w:snapToGrid w:val="0"/>
              <w:jc w:val="center"/>
              <w:outlineLvl w:val="0"/>
              <w:rPr>
                <w:rFonts w:cs="Times New Roman" w:asciiTheme="minorEastAsia" w:hAnsiTheme="minorEastAsia" w:eastAsiaTheme="minorEastAsia"/>
                <w:color w:val="auto"/>
                <w:sz w:val="24"/>
                <w:szCs w:val="24"/>
                <w:highlight w:val="none"/>
              </w:rPr>
            </w:pPr>
            <w:bookmarkStart w:id="34" w:name="_Toc325206096"/>
            <w:bookmarkStart w:id="35" w:name="_Toc325206185"/>
            <w:bookmarkStart w:id="36" w:name="_Toc332360848"/>
            <w:r>
              <w:rPr>
                <w:rFonts w:cs="Times New Roman" w:asciiTheme="minorEastAsia" w:hAnsiTheme="minorEastAsia" w:eastAsiaTheme="minorEastAsia"/>
                <w:color w:val="auto"/>
                <w:sz w:val="24"/>
                <w:szCs w:val="24"/>
                <w:highlight w:val="none"/>
              </w:rPr>
              <w:t>(m/s)</w:t>
            </w:r>
            <w:bookmarkEnd w:id="34"/>
            <w:bookmarkEnd w:id="35"/>
            <w:bookmarkEnd w:id="36"/>
          </w:p>
        </w:tc>
      </w:tr>
      <w:tr w14:paraId="01322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6B43A4E3">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04.7.26</w:t>
            </w:r>
          </w:p>
        </w:tc>
        <w:tc>
          <w:tcPr>
            <w:tcW w:w="1498" w:type="dxa"/>
            <w:vAlign w:val="center"/>
          </w:tcPr>
          <w:p w14:paraId="48599EA3">
            <w:pPr>
              <w:pStyle w:val="30"/>
              <w:snapToGrid w:val="0"/>
              <w:jc w:val="center"/>
              <w:outlineLvl w:val="0"/>
              <w:rPr>
                <w:rFonts w:cs="Times New Roman" w:asciiTheme="minorEastAsia" w:hAnsiTheme="minorEastAsia" w:eastAsiaTheme="minorEastAsia"/>
                <w:color w:val="auto"/>
                <w:sz w:val="24"/>
                <w:szCs w:val="24"/>
                <w:highlight w:val="none"/>
              </w:rPr>
            </w:pPr>
            <w:bookmarkStart w:id="37" w:name="_Toc325206097"/>
            <w:bookmarkStart w:id="38" w:name="_Toc332360849"/>
            <w:bookmarkStart w:id="39" w:name="_Toc325206186"/>
            <w:r>
              <w:rPr>
                <w:rFonts w:cs="Times New Roman" w:asciiTheme="minorEastAsia" w:hAnsiTheme="minorEastAsia" w:eastAsiaTheme="minorEastAsia"/>
                <w:color w:val="auto"/>
                <w:sz w:val="24"/>
                <w:szCs w:val="24"/>
                <w:highlight w:val="none"/>
              </w:rPr>
              <w:t>25.5</w:t>
            </w:r>
            <w:bookmarkEnd w:id="37"/>
            <w:bookmarkEnd w:id="38"/>
            <w:bookmarkEnd w:id="39"/>
          </w:p>
        </w:tc>
        <w:tc>
          <w:tcPr>
            <w:tcW w:w="1404" w:type="dxa"/>
            <w:vAlign w:val="center"/>
          </w:tcPr>
          <w:p w14:paraId="39D92291">
            <w:pPr>
              <w:pStyle w:val="30"/>
              <w:snapToGrid w:val="0"/>
              <w:ind w:left="-108" w:right="-108"/>
              <w:jc w:val="center"/>
              <w:outlineLvl w:val="0"/>
              <w:rPr>
                <w:rFonts w:cs="Times New Roman" w:asciiTheme="minorEastAsia" w:hAnsiTheme="minorEastAsia" w:eastAsiaTheme="minorEastAsia"/>
                <w:color w:val="auto"/>
                <w:sz w:val="24"/>
                <w:szCs w:val="24"/>
                <w:highlight w:val="none"/>
              </w:rPr>
            </w:pPr>
            <w:bookmarkStart w:id="40" w:name="_Toc332360850"/>
            <w:bookmarkStart w:id="41" w:name="_Toc325206187"/>
            <w:bookmarkStart w:id="42" w:name="_Toc325206098"/>
            <w:r>
              <w:rPr>
                <w:rFonts w:cs="Times New Roman" w:asciiTheme="minorEastAsia" w:hAnsiTheme="minorEastAsia" w:eastAsiaTheme="minorEastAsia"/>
                <w:color w:val="auto"/>
                <w:sz w:val="24"/>
                <w:szCs w:val="24"/>
                <w:highlight w:val="none"/>
              </w:rPr>
              <w:t>27.0</w:t>
            </w:r>
            <w:bookmarkEnd w:id="40"/>
            <w:bookmarkEnd w:id="41"/>
            <w:bookmarkEnd w:id="42"/>
          </w:p>
        </w:tc>
        <w:tc>
          <w:tcPr>
            <w:tcW w:w="1404" w:type="dxa"/>
            <w:vAlign w:val="center"/>
          </w:tcPr>
          <w:p w14:paraId="5825A296">
            <w:pPr>
              <w:pStyle w:val="30"/>
              <w:tabs>
                <w:tab w:val="left" w:pos="52"/>
              </w:tabs>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87</w:t>
            </w:r>
          </w:p>
        </w:tc>
        <w:tc>
          <w:tcPr>
            <w:tcW w:w="1404" w:type="dxa"/>
            <w:vAlign w:val="center"/>
          </w:tcPr>
          <w:p w14:paraId="12547DDC">
            <w:pPr>
              <w:pStyle w:val="3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974.2</w:t>
            </w:r>
          </w:p>
        </w:tc>
        <w:tc>
          <w:tcPr>
            <w:tcW w:w="1041" w:type="dxa"/>
            <w:vAlign w:val="center"/>
          </w:tcPr>
          <w:p w14:paraId="20B62FAB">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0.3</w:t>
            </w:r>
          </w:p>
        </w:tc>
      </w:tr>
      <w:tr w14:paraId="51D73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51C23661">
            <w:pPr>
              <w:pStyle w:val="30"/>
              <w:snapToGrid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04.7.28</w:t>
            </w:r>
          </w:p>
        </w:tc>
        <w:tc>
          <w:tcPr>
            <w:tcW w:w="1498" w:type="dxa"/>
            <w:vAlign w:val="center"/>
          </w:tcPr>
          <w:p w14:paraId="36F055A1">
            <w:pPr>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25.5</w:t>
            </w:r>
          </w:p>
        </w:tc>
        <w:tc>
          <w:tcPr>
            <w:tcW w:w="1404" w:type="dxa"/>
            <w:vAlign w:val="center"/>
          </w:tcPr>
          <w:p w14:paraId="436D5A72">
            <w:pPr>
              <w:pStyle w:val="30"/>
              <w:snapToGrid w:val="0"/>
              <w:ind w:left="-108" w:right="-108"/>
              <w:jc w:val="center"/>
              <w:outlineLvl w:val="0"/>
              <w:rPr>
                <w:rFonts w:cs="Times New Roman" w:asciiTheme="minorEastAsia" w:hAnsiTheme="minorEastAsia" w:eastAsiaTheme="minorEastAsia"/>
                <w:color w:val="auto"/>
                <w:sz w:val="24"/>
                <w:szCs w:val="24"/>
                <w:highlight w:val="none"/>
              </w:rPr>
            </w:pPr>
            <w:bookmarkStart w:id="43" w:name="_Toc325206188"/>
            <w:bookmarkStart w:id="44" w:name="_Toc332360851"/>
            <w:bookmarkStart w:id="45" w:name="_Toc325206099"/>
            <w:r>
              <w:rPr>
                <w:rFonts w:cs="Times New Roman" w:asciiTheme="minorEastAsia" w:hAnsiTheme="minorEastAsia" w:eastAsiaTheme="minorEastAsia"/>
                <w:color w:val="auto"/>
                <w:sz w:val="24"/>
                <w:szCs w:val="24"/>
                <w:highlight w:val="none"/>
              </w:rPr>
              <w:t>27.1</w:t>
            </w:r>
            <w:bookmarkEnd w:id="43"/>
            <w:bookmarkEnd w:id="44"/>
            <w:bookmarkEnd w:id="45"/>
          </w:p>
        </w:tc>
        <w:tc>
          <w:tcPr>
            <w:tcW w:w="1404" w:type="dxa"/>
            <w:vAlign w:val="center"/>
          </w:tcPr>
          <w:p w14:paraId="294842E7">
            <w:pPr>
              <w:pStyle w:val="30"/>
              <w:tabs>
                <w:tab w:val="left" w:pos="52"/>
              </w:tabs>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89</w:t>
            </w:r>
          </w:p>
        </w:tc>
        <w:tc>
          <w:tcPr>
            <w:tcW w:w="1404" w:type="dxa"/>
            <w:vAlign w:val="center"/>
          </w:tcPr>
          <w:p w14:paraId="4FCB23AB">
            <w:pPr>
              <w:pStyle w:val="3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977.0</w:t>
            </w:r>
          </w:p>
        </w:tc>
        <w:tc>
          <w:tcPr>
            <w:tcW w:w="1041" w:type="dxa"/>
            <w:vAlign w:val="center"/>
          </w:tcPr>
          <w:p w14:paraId="73CE1C9D">
            <w:pPr>
              <w:pStyle w:val="30"/>
              <w:snapToGrid w:val="0"/>
              <w:jc w:val="center"/>
              <w:outlineLvl w:val="0"/>
              <w:rPr>
                <w:rFonts w:cs="Times New Roman" w:asciiTheme="minorEastAsia" w:hAnsiTheme="minorEastAsia" w:eastAsiaTheme="minorEastAsia"/>
                <w:color w:val="auto"/>
                <w:sz w:val="24"/>
                <w:szCs w:val="24"/>
                <w:highlight w:val="none"/>
              </w:rPr>
            </w:pPr>
            <w:bookmarkStart w:id="46" w:name="_Toc325206100"/>
            <w:bookmarkStart w:id="47" w:name="_Toc332360852"/>
            <w:bookmarkStart w:id="48" w:name="_Toc325206189"/>
            <w:r>
              <w:rPr>
                <w:rFonts w:cs="Times New Roman" w:asciiTheme="minorEastAsia" w:hAnsiTheme="minorEastAsia" w:eastAsiaTheme="minorEastAsia"/>
                <w:color w:val="auto"/>
                <w:sz w:val="24"/>
                <w:szCs w:val="24"/>
                <w:highlight w:val="none"/>
              </w:rPr>
              <w:t>1.3</w:t>
            </w:r>
            <w:bookmarkEnd w:id="46"/>
            <w:bookmarkEnd w:id="47"/>
            <w:bookmarkEnd w:id="48"/>
          </w:p>
        </w:tc>
      </w:tr>
      <w:tr w14:paraId="123E5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3AE5F406">
            <w:pPr>
              <w:pStyle w:val="30"/>
              <w:snapToGrid w:val="0"/>
              <w:jc w:val="center"/>
              <w:outlineLvl w:val="0"/>
              <w:rPr>
                <w:rFonts w:cs="Times New Roman" w:asciiTheme="minorEastAsia" w:hAnsiTheme="minorEastAsia" w:eastAsiaTheme="minorEastAsia"/>
                <w:color w:val="auto"/>
                <w:sz w:val="24"/>
                <w:szCs w:val="24"/>
                <w:highlight w:val="none"/>
              </w:rPr>
            </w:pPr>
            <w:bookmarkStart w:id="49" w:name="_Toc325206190"/>
            <w:bookmarkStart w:id="50" w:name="_Toc325206101"/>
            <w:bookmarkStart w:id="51" w:name="_Toc332360853"/>
            <w:r>
              <w:rPr>
                <w:rFonts w:cs="Times New Roman" w:asciiTheme="minorEastAsia" w:hAnsiTheme="minorEastAsia" w:eastAsiaTheme="minorEastAsia"/>
                <w:color w:val="auto"/>
                <w:sz w:val="24"/>
                <w:szCs w:val="24"/>
                <w:highlight w:val="none"/>
              </w:rPr>
              <w:t>05.8.10</w:t>
            </w:r>
            <w:bookmarkEnd w:id="49"/>
            <w:bookmarkEnd w:id="50"/>
            <w:bookmarkEnd w:id="51"/>
          </w:p>
        </w:tc>
        <w:tc>
          <w:tcPr>
            <w:tcW w:w="1498" w:type="dxa"/>
            <w:vAlign w:val="center"/>
          </w:tcPr>
          <w:p w14:paraId="0BCE9CF7">
            <w:pPr>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25.5</w:t>
            </w:r>
          </w:p>
        </w:tc>
        <w:tc>
          <w:tcPr>
            <w:tcW w:w="1404" w:type="dxa"/>
            <w:vAlign w:val="center"/>
          </w:tcPr>
          <w:p w14:paraId="6EE81EB6">
            <w:pPr>
              <w:pStyle w:val="30"/>
              <w:snapToGrid w:val="0"/>
              <w:ind w:left="-108" w:right="-108"/>
              <w:jc w:val="center"/>
              <w:outlineLvl w:val="0"/>
              <w:rPr>
                <w:rFonts w:cs="Times New Roman" w:asciiTheme="minorEastAsia" w:hAnsiTheme="minorEastAsia" w:eastAsiaTheme="minorEastAsia"/>
                <w:color w:val="auto"/>
                <w:sz w:val="24"/>
                <w:szCs w:val="24"/>
                <w:highlight w:val="none"/>
              </w:rPr>
            </w:pPr>
            <w:bookmarkStart w:id="52" w:name="_Toc325206102"/>
            <w:bookmarkStart w:id="53" w:name="_Toc332360854"/>
            <w:bookmarkStart w:id="54" w:name="_Toc325206191"/>
            <w:r>
              <w:rPr>
                <w:rFonts w:cs="Times New Roman" w:asciiTheme="minorEastAsia" w:hAnsiTheme="minorEastAsia" w:eastAsiaTheme="minorEastAsia"/>
                <w:color w:val="auto"/>
                <w:sz w:val="24"/>
                <w:szCs w:val="24"/>
                <w:highlight w:val="none"/>
              </w:rPr>
              <w:t>29.5</w:t>
            </w:r>
            <w:bookmarkEnd w:id="52"/>
            <w:bookmarkEnd w:id="53"/>
            <w:bookmarkEnd w:id="54"/>
          </w:p>
        </w:tc>
        <w:tc>
          <w:tcPr>
            <w:tcW w:w="1404" w:type="dxa"/>
            <w:vAlign w:val="center"/>
          </w:tcPr>
          <w:p w14:paraId="5C5B1D7D">
            <w:pPr>
              <w:pStyle w:val="30"/>
              <w:tabs>
                <w:tab w:val="left" w:pos="52"/>
              </w:tabs>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72</w:t>
            </w:r>
          </w:p>
        </w:tc>
        <w:tc>
          <w:tcPr>
            <w:tcW w:w="1404" w:type="dxa"/>
            <w:vAlign w:val="center"/>
          </w:tcPr>
          <w:p w14:paraId="36055D92">
            <w:pPr>
              <w:pStyle w:val="3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971.5</w:t>
            </w:r>
          </w:p>
        </w:tc>
        <w:tc>
          <w:tcPr>
            <w:tcW w:w="1041" w:type="dxa"/>
            <w:vAlign w:val="center"/>
          </w:tcPr>
          <w:p w14:paraId="72F47927">
            <w:pPr>
              <w:pStyle w:val="30"/>
              <w:snapToGrid w:val="0"/>
              <w:jc w:val="center"/>
              <w:outlineLvl w:val="0"/>
              <w:rPr>
                <w:rFonts w:cs="Times New Roman" w:asciiTheme="minorEastAsia" w:hAnsiTheme="minorEastAsia" w:eastAsiaTheme="minorEastAsia"/>
                <w:color w:val="auto"/>
                <w:sz w:val="24"/>
                <w:szCs w:val="24"/>
                <w:highlight w:val="none"/>
              </w:rPr>
            </w:pPr>
            <w:bookmarkStart w:id="55" w:name="_Toc325206192"/>
            <w:bookmarkStart w:id="56" w:name="_Toc325206103"/>
            <w:bookmarkStart w:id="57" w:name="_Toc332360855"/>
            <w:r>
              <w:rPr>
                <w:rFonts w:cs="Times New Roman" w:asciiTheme="minorEastAsia" w:hAnsiTheme="minorEastAsia" w:eastAsiaTheme="minorEastAsia"/>
                <w:color w:val="auto"/>
                <w:sz w:val="24"/>
                <w:szCs w:val="24"/>
                <w:highlight w:val="none"/>
              </w:rPr>
              <w:t>0</w:t>
            </w:r>
            <w:bookmarkEnd w:id="55"/>
            <w:bookmarkEnd w:id="56"/>
            <w:bookmarkEnd w:id="57"/>
          </w:p>
        </w:tc>
      </w:tr>
    </w:tbl>
    <w:p w14:paraId="2F88E2B8">
      <w:pPr>
        <w:spacing w:line="360" w:lineRule="auto"/>
        <w:rPr>
          <w:rFonts w:cs="Arial" w:asciiTheme="minorEastAsia" w:hAnsiTheme="minorEastAsia" w:eastAsiaTheme="minorEastAsia"/>
          <w:snapToGrid w:val="0"/>
          <w:color w:val="auto"/>
          <w:sz w:val="24"/>
          <w:szCs w:val="24"/>
          <w:highlight w:val="none"/>
        </w:rPr>
      </w:pPr>
    </w:p>
    <w:p w14:paraId="5A54B32B">
      <w:pPr>
        <w:spacing w:line="360" w:lineRule="auto"/>
        <w:rPr>
          <w:rFonts w:asciiTheme="minorEastAsia" w:hAnsiTheme="minorEastAsia" w:eastAsiaTheme="minorEastAsia"/>
          <w:snapToGrid w:val="0"/>
          <w:color w:val="auto"/>
          <w:sz w:val="24"/>
          <w:szCs w:val="24"/>
          <w:highlight w:val="none"/>
        </w:rPr>
      </w:pPr>
      <w:r>
        <w:rPr>
          <w:rFonts w:hint="eastAsia" w:cs="Arial" w:asciiTheme="minorEastAsia" w:hAnsiTheme="minorEastAsia" w:eastAsiaTheme="minorEastAsia"/>
          <w:snapToGrid w:val="0"/>
          <w:color w:val="auto"/>
          <w:sz w:val="24"/>
          <w:szCs w:val="24"/>
          <w:highlight w:val="none"/>
        </w:rPr>
        <w:t xml:space="preserve">2.2.6 </w:t>
      </w:r>
      <w:r>
        <w:rPr>
          <w:rFonts w:hint="eastAsia" w:asciiTheme="minorEastAsia" w:hAnsiTheme="minorEastAsia" w:eastAsiaTheme="minorEastAsia"/>
          <w:snapToGrid w:val="0"/>
          <w:color w:val="auto"/>
          <w:sz w:val="24"/>
          <w:szCs w:val="24"/>
          <w:highlight w:val="none"/>
        </w:rPr>
        <w:t>厂内压缩空气</w:t>
      </w:r>
    </w:p>
    <w:p w14:paraId="6B6074DA">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压力：0.4～0.7</w:t>
      </w:r>
      <w:r>
        <w:rPr>
          <w:rFonts w:ascii="宋体" w:hAnsi="宋体" w:eastAsia="宋体"/>
          <w:color w:val="auto"/>
          <w:sz w:val="24"/>
          <w:szCs w:val="24"/>
          <w:highlight w:val="none"/>
        </w:rPr>
        <w:t>M</w:t>
      </w:r>
      <w:r>
        <w:rPr>
          <w:rFonts w:hint="eastAsia" w:ascii="宋体" w:hAnsi="宋体" w:eastAsia="宋体"/>
          <w:color w:val="auto"/>
          <w:sz w:val="24"/>
          <w:szCs w:val="24"/>
          <w:highlight w:val="none"/>
        </w:rPr>
        <w:t>P</w:t>
      </w:r>
      <w:r>
        <w:rPr>
          <w:rFonts w:ascii="宋体" w:hAnsi="宋体" w:eastAsia="宋体"/>
          <w:color w:val="auto"/>
          <w:sz w:val="24"/>
          <w:szCs w:val="24"/>
          <w:highlight w:val="none"/>
        </w:rPr>
        <w:t>a</w:t>
      </w:r>
      <w:r>
        <w:rPr>
          <w:rFonts w:hint="eastAsia" w:ascii="宋体" w:hAnsi="宋体" w:eastAsia="宋体"/>
          <w:color w:val="auto"/>
          <w:sz w:val="24"/>
          <w:szCs w:val="24"/>
          <w:highlight w:val="none"/>
        </w:rPr>
        <w:t>.g</w:t>
      </w:r>
    </w:p>
    <w:p w14:paraId="35FFD072">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含油量： </w:t>
      </w:r>
      <w:r>
        <w:rPr>
          <w:rFonts w:ascii="宋体" w:hAnsi="宋体" w:eastAsia="宋体"/>
          <w:color w:val="auto"/>
          <w:sz w:val="24"/>
          <w:szCs w:val="24"/>
          <w:highlight w:val="none"/>
        </w:rPr>
        <w:t>≤</w:t>
      </w:r>
      <w:r>
        <w:rPr>
          <w:rFonts w:hint="eastAsia" w:ascii="宋体" w:hAnsi="宋体" w:eastAsia="宋体"/>
          <w:color w:val="auto"/>
          <w:sz w:val="24"/>
          <w:szCs w:val="24"/>
          <w:highlight w:val="none"/>
        </w:rPr>
        <w:t>3</w:t>
      </w:r>
      <w:r>
        <w:rPr>
          <w:rFonts w:ascii="宋体" w:hAnsi="宋体" w:eastAsia="宋体"/>
          <w:color w:val="auto"/>
          <w:sz w:val="24"/>
          <w:szCs w:val="24"/>
          <w:highlight w:val="none"/>
        </w:rPr>
        <w:t>ppm</w:t>
      </w:r>
    </w:p>
    <w:p w14:paraId="5C1A895E">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气体含尘颗粒直径：</w:t>
      </w:r>
      <w:r>
        <w:rPr>
          <w:rFonts w:ascii="宋体" w:hAnsi="宋体" w:eastAsia="宋体"/>
          <w:color w:val="auto"/>
          <w:sz w:val="24"/>
          <w:szCs w:val="24"/>
          <w:highlight w:val="none"/>
        </w:rPr>
        <w:t>≤</w:t>
      </w:r>
      <w:r>
        <w:rPr>
          <w:rFonts w:hint="eastAsia" w:ascii="宋体" w:hAnsi="宋体" w:eastAsia="宋体"/>
          <w:color w:val="auto"/>
          <w:sz w:val="24"/>
          <w:szCs w:val="24"/>
          <w:highlight w:val="none"/>
        </w:rPr>
        <w:t>3</w:t>
      </w:r>
      <w:r>
        <w:rPr>
          <w:rFonts w:ascii="宋体" w:hAnsi="宋体" w:eastAsia="宋体"/>
          <w:color w:val="auto"/>
          <w:sz w:val="24"/>
          <w:szCs w:val="24"/>
          <w:highlight w:val="none"/>
        </w:rPr>
        <w:t>μm</w:t>
      </w:r>
    </w:p>
    <w:p w14:paraId="2D0B4F8A">
      <w:pPr>
        <w:tabs>
          <w:tab w:val="left" w:pos="578"/>
        </w:tabs>
        <w:spacing w:line="360" w:lineRule="auto"/>
        <w:ind w:firstLine="600" w:firstLineChars="250"/>
        <w:rPr>
          <w:rFonts w:ascii="宋体" w:hAnsi="宋体" w:eastAsia="宋体"/>
          <w:color w:val="auto"/>
          <w:sz w:val="24"/>
          <w:szCs w:val="24"/>
          <w:highlight w:val="none"/>
        </w:rPr>
      </w:pPr>
      <w:r>
        <w:rPr>
          <w:rFonts w:hint="eastAsia" w:ascii="宋体" w:hAnsi="宋体" w:eastAsia="宋体"/>
          <w:color w:val="auto"/>
          <w:sz w:val="24"/>
          <w:szCs w:val="24"/>
          <w:highlight w:val="none"/>
        </w:rPr>
        <w:t>在排气压力下露点不高于-20</w:t>
      </w:r>
      <w:r>
        <w:rPr>
          <w:rFonts w:ascii="宋体" w:hAnsi="宋体" w:eastAsia="宋体"/>
          <w:color w:val="auto"/>
          <w:sz w:val="24"/>
          <w:szCs w:val="24"/>
          <w:highlight w:val="none"/>
        </w:rPr>
        <w:t>ºC</w:t>
      </w:r>
    </w:p>
    <w:p w14:paraId="5F0C87E2">
      <w:pPr>
        <w:spacing w:line="360" w:lineRule="auto"/>
        <w:rPr>
          <w:rFonts w:ascii="宋体" w:hAnsi="宋体" w:eastAsia="宋体"/>
          <w:b/>
          <w:color w:val="auto"/>
          <w:sz w:val="24"/>
          <w:szCs w:val="24"/>
          <w:highlight w:val="none"/>
        </w:rPr>
      </w:pPr>
      <w:r>
        <w:rPr>
          <w:rFonts w:hint="eastAsia" w:ascii="宋体" w:hAnsi="宋体" w:eastAsia="宋体" w:cs="Arial"/>
          <w:snapToGrid w:val="0"/>
          <w:color w:val="auto"/>
          <w:sz w:val="24"/>
          <w:szCs w:val="24"/>
          <w:highlight w:val="none"/>
        </w:rPr>
        <w:t xml:space="preserve">2.2.7 </w:t>
      </w:r>
      <w:r>
        <w:rPr>
          <w:rFonts w:hint="eastAsia" w:ascii="宋体" w:hAnsi="宋体" w:eastAsia="宋体"/>
          <w:color w:val="auto"/>
          <w:sz w:val="24"/>
          <w:szCs w:val="24"/>
          <w:highlight w:val="none"/>
        </w:rPr>
        <w:t>厂用电系统电压：</w:t>
      </w:r>
    </w:p>
    <w:p w14:paraId="14427F9D">
      <w:pPr>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中压系统为10</w:t>
      </w:r>
      <w:r>
        <w:rPr>
          <w:rFonts w:ascii="宋体" w:hAnsi="宋体" w:eastAsia="宋体"/>
          <w:color w:val="auto"/>
          <w:sz w:val="24"/>
          <w:szCs w:val="24"/>
          <w:highlight w:val="none"/>
        </w:rPr>
        <w:t>kV</w:t>
      </w:r>
      <w:r>
        <w:rPr>
          <w:rFonts w:hint="eastAsia" w:ascii="宋体" w:hAnsi="宋体" w:eastAsia="宋体"/>
          <w:color w:val="auto"/>
          <w:sz w:val="24"/>
          <w:szCs w:val="24"/>
          <w:highlight w:val="none"/>
        </w:rPr>
        <w:t>、三相、</w:t>
      </w:r>
      <w:r>
        <w:rPr>
          <w:rFonts w:ascii="宋体" w:hAnsi="宋体" w:eastAsia="宋体"/>
          <w:color w:val="auto"/>
          <w:sz w:val="24"/>
          <w:szCs w:val="24"/>
          <w:highlight w:val="none"/>
        </w:rPr>
        <w:t>50Hz</w:t>
      </w:r>
      <w:r>
        <w:rPr>
          <w:rFonts w:hint="eastAsia" w:ascii="宋体" w:hAnsi="宋体" w:eastAsia="宋体"/>
          <w:color w:val="auto"/>
          <w:sz w:val="24"/>
          <w:szCs w:val="24"/>
          <w:highlight w:val="none"/>
        </w:rPr>
        <w:t>；额定值</w:t>
      </w:r>
      <w:r>
        <w:rPr>
          <w:rFonts w:ascii="宋体" w:hAnsi="宋体" w:eastAsia="宋体"/>
          <w:color w:val="auto"/>
          <w:sz w:val="24"/>
          <w:szCs w:val="24"/>
          <w:highlight w:val="none"/>
        </w:rPr>
        <w:t>2</w:t>
      </w:r>
      <w:r>
        <w:rPr>
          <w:rFonts w:hint="eastAsia" w:ascii="宋体" w:hAnsi="宋体" w:eastAsia="宋体"/>
          <w:color w:val="auto"/>
          <w:sz w:val="24"/>
          <w:szCs w:val="24"/>
          <w:highlight w:val="none"/>
        </w:rPr>
        <w:t>5</w:t>
      </w:r>
      <w:r>
        <w:rPr>
          <w:rFonts w:ascii="宋体" w:hAnsi="宋体" w:eastAsia="宋体"/>
          <w:color w:val="auto"/>
          <w:sz w:val="24"/>
          <w:szCs w:val="24"/>
          <w:highlight w:val="none"/>
        </w:rPr>
        <w:t>0kW</w:t>
      </w:r>
      <w:r>
        <w:rPr>
          <w:rFonts w:hint="eastAsia" w:ascii="宋体" w:hAnsi="宋体" w:eastAsia="宋体"/>
          <w:color w:val="auto"/>
          <w:sz w:val="24"/>
          <w:szCs w:val="24"/>
          <w:highlight w:val="none"/>
        </w:rPr>
        <w:t>及以上电动机所采用的额定电压为10KV。</w:t>
      </w:r>
    </w:p>
    <w:p w14:paraId="379ED2AD">
      <w:pPr>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低压厂用电系统采用380/220V。低压厂用电系统采用动力中心(PC)和电动机控制中心(MCC)的供电方式。</w:t>
      </w:r>
    </w:p>
    <w:p w14:paraId="1A190108">
      <w:pPr>
        <w:pStyle w:val="282"/>
        <w:wordWrap/>
        <w:overflowPunct/>
        <w:autoSpaceDE/>
        <w:autoSpaceDN/>
        <w:snapToGrid w:val="0"/>
        <w:spacing w:line="360" w:lineRule="auto"/>
        <w:ind w:firstLineChars="200"/>
        <w:rPr>
          <w:rFonts w:hAnsi="宋体" w:cs="宋体"/>
          <w:color w:val="auto"/>
          <w:szCs w:val="24"/>
          <w:highlight w:val="none"/>
        </w:rPr>
      </w:pPr>
      <w:r>
        <w:rPr>
          <w:rFonts w:hint="eastAsia" w:hAnsi="宋体" w:cs="宋体"/>
          <w:color w:val="auto"/>
          <w:szCs w:val="24"/>
          <w:highlight w:val="none"/>
        </w:rPr>
        <w:t>10KV厂用电系统采用中性点经电阻接地系统，低压厂用电系统采用中性点直接接地系统。</w:t>
      </w:r>
    </w:p>
    <w:p w14:paraId="44943BDA">
      <w:pPr>
        <w:spacing w:after="0" w:line="360" w:lineRule="auto"/>
        <w:ind w:firstLine="480" w:firstLineChars="200"/>
        <w:rPr>
          <w:rFonts w:ascii="宋体" w:hAnsi="宋体" w:eastAsia="宋体"/>
          <w:color w:val="auto"/>
          <w:kern w:val="2"/>
          <w:sz w:val="24"/>
          <w:szCs w:val="24"/>
          <w:highlight w:val="none"/>
        </w:rPr>
      </w:pPr>
      <w:r>
        <w:rPr>
          <w:rFonts w:hint="eastAsia" w:ascii="宋体" w:hAnsi="宋体" w:eastAsia="宋体"/>
          <w:color w:val="auto"/>
          <w:kern w:val="2"/>
          <w:sz w:val="24"/>
          <w:szCs w:val="24"/>
          <w:highlight w:val="none"/>
        </w:rPr>
        <w:t>设备照明和维修电压：</w:t>
      </w:r>
    </w:p>
    <w:p w14:paraId="7E2C1CAD">
      <w:pPr>
        <w:spacing w:after="0" w:line="360" w:lineRule="auto"/>
        <w:ind w:firstLine="480" w:firstLineChars="200"/>
        <w:rPr>
          <w:rFonts w:ascii="宋体" w:hAnsi="宋体" w:eastAsia="宋体"/>
          <w:color w:val="auto"/>
          <w:kern w:val="2"/>
          <w:sz w:val="24"/>
          <w:szCs w:val="24"/>
          <w:highlight w:val="none"/>
        </w:rPr>
      </w:pPr>
      <w:r>
        <w:rPr>
          <w:rFonts w:hint="eastAsia" w:ascii="宋体" w:hAnsi="宋体" w:eastAsia="宋体"/>
          <w:color w:val="auto"/>
          <w:kern w:val="2"/>
          <w:sz w:val="24"/>
          <w:szCs w:val="24"/>
          <w:highlight w:val="none"/>
        </w:rPr>
        <w:t>设备照明由单独的</w:t>
      </w:r>
      <w:r>
        <w:rPr>
          <w:rFonts w:ascii="宋体" w:hAnsi="宋体" w:eastAsia="宋体"/>
          <w:color w:val="auto"/>
          <w:kern w:val="2"/>
          <w:sz w:val="24"/>
          <w:szCs w:val="24"/>
          <w:highlight w:val="none"/>
        </w:rPr>
        <w:t>400/230V</w:t>
      </w:r>
      <w:r>
        <w:rPr>
          <w:rFonts w:hint="eastAsia" w:ascii="宋体" w:hAnsi="宋体" w:eastAsia="宋体"/>
          <w:color w:val="auto"/>
          <w:kern w:val="2"/>
          <w:sz w:val="24"/>
          <w:szCs w:val="24"/>
          <w:highlight w:val="none"/>
        </w:rPr>
        <w:t>照明变压器引出。</w:t>
      </w:r>
    </w:p>
    <w:p w14:paraId="2531A89B">
      <w:pPr>
        <w:pStyle w:val="282"/>
        <w:wordWrap/>
        <w:overflowPunct/>
        <w:autoSpaceDE/>
        <w:autoSpaceDN/>
        <w:snapToGrid w:val="0"/>
        <w:spacing w:line="360" w:lineRule="auto"/>
        <w:ind w:firstLineChars="200"/>
        <w:rPr>
          <w:rFonts w:hAnsi="宋体" w:cstheme="minorBidi"/>
          <w:color w:val="auto"/>
          <w:kern w:val="2"/>
          <w:szCs w:val="24"/>
          <w:highlight w:val="none"/>
        </w:rPr>
      </w:pPr>
      <w:r>
        <w:rPr>
          <w:rFonts w:hint="eastAsia" w:hAnsi="宋体" w:cstheme="minorBidi"/>
          <w:color w:val="auto"/>
          <w:kern w:val="2"/>
          <w:szCs w:val="24"/>
          <w:highlight w:val="none"/>
        </w:rPr>
        <w:t>维修插座电源额定电压为</w:t>
      </w:r>
      <w:r>
        <w:rPr>
          <w:rFonts w:hAnsi="宋体" w:cstheme="minorBidi"/>
          <w:color w:val="auto"/>
          <w:kern w:val="2"/>
          <w:szCs w:val="24"/>
          <w:highlight w:val="none"/>
        </w:rPr>
        <w:t>400V</w:t>
      </w:r>
      <w:r>
        <w:rPr>
          <w:rFonts w:hint="eastAsia" w:hAnsi="宋体" w:cstheme="minorBidi"/>
          <w:color w:val="auto"/>
          <w:kern w:val="2"/>
          <w:szCs w:val="24"/>
          <w:highlight w:val="none"/>
        </w:rPr>
        <w:t>、</w:t>
      </w:r>
      <w:r>
        <w:rPr>
          <w:rFonts w:hAnsi="宋体" w:cstheme="minorBidi"/>
          <w:color w:val="auto"/>
          <w:kern w:val="2"/>
          <w:szCs w:val="24"/>
          <w:highlight w:val="none"/>
        </w:rPr>
        <w:t>70A</w:t>
      </w:r>
      <w:r>
        <w:rPr>
          <w:rFonts w:hint="eastAsia" w:hAnsi="宋体" w:cstheme="minorBidi"/>
          <w:color w:val="auto"/>
          <w:kern w:val="2"/>
          <w:szCs w:val="24"/>
          <w:highlight w:val="none"/>
        </w:rPr>
        <w:t>、三相、</w:t>
      </w:r>
      <w:r>
        <w:rPr>
          <w:rFonts w:hAnsi="宋体" w:cstheme="minorBidi"/>
          <w:color w:val="auto"/>
          <w:kern w:val="2"/>
          <w:szCs w:val="24"/>
          <w:highlight w:val="none"/>
        </w:rPr>
        <w:t>50Hz</w:t>
      </w:r>
      <w:r>
        <w:rPr>
          <w:rFonts w:hint="eastAsia" w:hAnsi="宋体" w:cstheme="minorBidi"/>
          <w:color w:val="auto"/>
          <w:kern w:val="2"/>
          <w:szCs w:val="24"/>
          <w:highlight w:val="none"/>
        </w:rPr>
        <w:t>；单相</w:t>
      </w:r>
      <w:r>
        <w:rPr>
          <w:rFonts w:hAnsi="宋体" w:cstheme="minorBidi"/>
          <w:color w:val="auto"/>
          <w:kern w:val="2"/>
          <w:szCs w:val="24"/>
          <w:highlight w:val="none"/>
        </w:rPr>
        <w:t>230V</w:t>
      </w:r>
      <w:r>
        <w:rPr>
          <w:rFonts w:hint="eastAsia" w:hAnsi="宋体" w:cstheme="minorBidi"/>
          <w:color w:val="auto"/>
          <w:kern w:val="2"/>
          <w:szCs w:val="24"/>
          <w:highlight w:val="none"/>
        </w:rPr>
        <w:t>、</w:t>
      </w:r>
      <w:r>
        <w:rPr>
          <w:rFonts w:hAnsi="宋体" w:cstheme="minorBidi"/>
          <w:color w:val="auto"/>
          <w:kern w:val="2"/>
          <w:szCs w:val="24"/>
          <w:highlight w:val="none"/>
        </w:rPr>
        <w:t>20A</w:t>
      </w:r>
      <w:r>
        <w:rPr>
          <w:rFonts w:hint="eastAsia" w:hAnsi="宋体" w:cstheme="minorBidi"/>
          <w:color w:val="auto"/>
          <w:kern w:val="2"/>
          <w:szCs w:val="24"/>
          <w:highlight w:val="none"/>
        </w:rPr>
        <w:t>。</w:t>
      </w:r>
    </w:p>
    <w:p w14:paraId="12D7742D">
      <w:pPr>
        <w:keepNext/>
        <w:spacing w:before="140" w:after="140" w:line="360" w:lineRule="auto"/>
        <w:outlineLvl w:val="1"/>
        <w:rPr>
          <w:rFonts w:cs="黑体" w:asciiTheme="minorEastAsia" w:hAnsiTheme="minorEastAsia" w:eastAsiaTheme="minorEastAsia"/>
          <w:color w:val="auto"/>
          <w:kern w:val="2"/>
          <w:sz w:val="24"/>
          <w:szCs w:val="24"/>
          <w:highlight w:val="none"/>
        </w:rPr>
      </w:pPr>
      <w:r>
        <w:rPr>
          <w:rFonts w:hint="eastAsia" w:ascii="宋体" w:hAnsi="宋体" w:eastAsia="宋体"/>
          <w:color w:val="auto"/>
          <w:kern w:val="2"/>
          <w:sz w:val="24"/>
          <w:szCs w:val="24"/>
          <w:highlight w:val="none"/>
        </w:rPr>
        <w:t>3.</w:t>
      </w:r>
      <w:bookmarkEnd w:id="22"/>
      <w:bookmarkStart w:id="58" w:name="_Toc11310"/>
      <w:bookmarkStart w:id="59" w:name="_Toc32082"/>
      <w:r>
        <w:rPr>
          <w:rFonts w:hint="eastAsia" w:cs="Times New Roman" w:asciiTheme="minorEastAsia" w:hAnsiTheme="minorEastAsia" w:eastAsiaTheme="minorEastAsia"/>
          <w:color w:val="auto"/>
          <w:kern w:val="2"/>
          <w:sz w:val="24"/>
          <w:szCs w:val="24"/>
          <w:highlight w:val="none"/>
        </w:rPr>
        <w:t xml:space="preserve"> 标准和规范</w:t>
      </w:r>
      <w:bookmarkEnd w:id="58"/>
      <w:bookmarkEnd w:id="59"/>
    </w:p>
    <w:p w14:paraId="16F7E12A">
      <w:pPr>
        <w:widowControl w:val="0"/>
        <w:spacing w:line="360" w:lineRule="auto"/>
        <w:ind w:firstLine="480" w:firstLineChars="200"/>
        <w:jc w:val="both"/>
        <w:rPr>
          <w:rFonts w:asciiTheme="minorEastAsia" w:hAnsiTheme="minorEastAsia" w:eastAsiaTheme="minorEastAsia"/>
          <w:color w:val="auto"/>
          <w:kern w:val="2"/>
          <w:sz w:val="24"/>
          <w:szCs w:val="24"/>
          <w:highlight w:val="none"/>
          <w:lang w:val="zh-CN"/>
        </w:rPr>
      </w:pPr>
      <w:r>
        <w:rPr>
          <w:rFonts w:hint="eastAsia" w:asciiTheme="minorEastAsia" w:hAnsiTheme="minorEastAsia" w:eastAsiaTheme="minorEastAsia"/>
          <w:color w:val="auto"/>
          <w:kern w:val="2"/>
          <w:sz w:val="24"/>
          <w:szCs w:val="24"/>
          <w:highlight w:val="none"/>
          <w:lang w:val="zh-CN"/>
        </w:rPr>
        <w:t>3.1</w:t>
      </w:r>
      <w:r>
        <w:rPr>
          <w:rFonts w:hint="eastAsia" w:ascii="宋体" w:hAnsi="宋体" w:eastAsia="宋体" w:cs="Times New Roman"/>
          <w:color w:val="auto"/>
          <w:sz w:val="24"/>
          <w:szCs w:val="24"/>
          <w:highlight w:val="none"/>
        </w:rPr>
        <w:t>锅炉壁温系统升级改造</w:t>
      </w:r>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rPr>
        <w:t>及其系统</w:t>
      </w:r>
      <w:r>
        <w:rPr>
          <w:rFonts w:hint="eastAsia" w:asciiTheme="minorEastAsia" w:hAnsiTheme="minorEastAsia" w:eastAsiaTheme="minorEastAsia"/>
          <w:color w:val="auto"/>
          <w:kern w:val="2"/>
          <w:sz w:val="24"/>
          <w:szCs w:val="24"/>
          <w:highlight w:val="none"/>
          <w:lang w:val="zh-CN"/>
        </w:rPr>
        <w:t>和附属设备包括投标人向其他厂商购买的所有附件和部件应符合相应的标准规范或法规的最新版本或其修正本，签订协议时起生效的任何更正和增补的要求，并严格执行国家关于工程的质量、安全、工业卫生、劳动保护、文明施工、环保、消防等强制性标准和国家颁发的“工程建设标准强制性条文”，当标准、规范之间出现矛盾时，按高标准执行。</w:t>
      </w:r>
    </w:p>
    <w:p w14:paraId="622A70D5">
      <w:pPr>
        <w:widowControl w:val="0"/>
        <w:spacing w:line="360" w:lineRule="auto"/>
        <w:ind w:firstLine="480" w:firstLineChars="200"/>
        <w:jc w:val="both"/>
        <w:rPr>
          <w:rFonts w:asciiTheme="minorEastAsia" w:hAnsiTheme="minorEastAsia" w:eastAsiaTheme="minorEastAsia"/>
          <w:color w:val="auto"/>
          <w:kern w:val="2"/>
          <w:sz w:val="24"/>
          <w:szCs w:val="24"/>
          <w:highlight w:val="none"/>
          <w:lang w:val="zh-CN"/>
        </w:rPr>
      </w:pPr>
      <w:r>
        <w:rPr>
          <w:rFonts w:hint="eastAsia" w:asciiTheme="minorEastAsia" w:hAnsiTheme="minorEastAsia" w:eastAsiaTheme="minorEastAsia"/>
          <w:color w:val="auto"/>
          <w:kern w:val="2"/>
          <w:sz w:val="24"/>
          <w:szCs w:val="24"/>
          <w:highlight w:val="none"/>
          <w:lang w:val="zh-CN"/>
        </w:rPr>
        <w:t>3.2除非合同另有规定，</w:t>
      </w:r>
      <w:bookmarkStart w:id="60" w:name="OLE_LINK25"/>
      <w:bookmarkStart w:id="61" w:name="OLE_LINK26"/>
      <w:r>
        <w:rPr>
          <w:rFonts w:hint="eastAsia" w:ascii="宋体" w:hAnsi="宋体" w:eastAsia="宋体" w:cs="Times New Roman"/>
          <w:color w:val="auto"/>
          <w:sz w:val="24"/>
          <w:szCs w:val="24"/>
          <w:highlight w:val="none"/>
        </w:rPr>
        <w:t>锅炉壁温系统升级改造</w:t>
      </w:r>
      <w:bookmarkEnd w:id="60"/>
      <w:bookmarkEnd w:id="61"/>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lang w:val="zh-CN"/>
        </w:rPr>
        <w:t>必须遵守国家最新的标准(GB)和国家法定的计量单位以及本章约定的其他标准。如</w:t>
      </w:r>
      <w:r>
        <w:rPr>
          <w:rFonts w:hint="eastAsia" w:ascii="宋体" w:hAnsi="宋体" w:eastAsia="宋体" w:cs="Times New Roman"/>
          <w:color w:val="auto"/>
          <w:sz w:val="24"/>
          <w:szCs w:val="24"/>
          <w:highlight w:val="none"/>
        </w:rPr>
        <w:t>锅炉壁温系统升级改造</w:t>
      </w:r>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lang w:val="zh-CN"/>
        </w:rPr>
        <w:t>中采用进口或引进技术或合资或合作产品，还应遵守产品原产地、采用的技术合作或支持方的国家标准，但所有螺栓、双头螺栓、螺纹、管螺纹、螺栓夹及螺母均应遵守国际标准化组织(ISO)和国际单位制(SI)的标准。</w:t>
      </w:r>
    </w:p>
    <w:p w14:paraId="2DDDBB53">
      <w:pPr>
        <w:widowControl w:val="0"/>
        <w:spacing w:line="360" w:lineRule="auto"/>
        <w:ind w:firstLine="480" w:firstLineChars="200"/>
        <w:jc w:val="both"/>
        <w:rPr>
          <w:rFonts w:asciiTheme="minorEastAsia" w:hAnsiTheme="minorEastAsia" w:eastAsiaTheme="minorEastAsia"/>
          <w:color w:val="auto"/>
          <w:kern w:val="2"/>
          <w:sz w:val="24"/>
          <w:szCs w:val="24"/>
          <w:highlight w:val="none"/>
        </w:rPr>
      </w:pPr>
      <w:r>
        <w:rPr>
          <w:rFonts w:hint="eastAsia" w:asciiTheme="minorEastAsia" w:hAnsiTheme="minorEastAsia" w:eastAsiaTheme="minorEastAsia"/>
          <w:color w:val="auto"/>
          <w:kern w:val="2"/>
          <w:sz w:val="24"/>
          <w:szCs w:val="24"/>
          <w:highlight w:val="none"/>
        </w:rPr>
        <w:t>3.3</w:t>
      </w:r>
      <w:r>
        <w:rPr>
          <w:rFonts w:hint="eastAsia" w:ascii="宋体" w:hAnsi="宋体" w:eastAsia="宋体" w:cs="Times New Roman"/>
          <w:color w:val="auto"/>
          <w:sz w:val="24"/>
          <w:szCs w:val="24"/>
          <w:highlight w:val="none"/>
        </w:rPr>
        <w:t>锅炉壁温系统升级改造</w:t>
      </w:r>
      <w:r>
        <w:rPr>
          <w:rFonts w:asciiTheme="minorEastAsia" w:hAnsiTheme="minorEastAsia" w:eastAsiaTheme="minorEastAsia"/>
          <w:color w:val="auto"/>
          <w:kern w:val="2"/>
          <w:sz w:val="24"/>
          <w:szCs w:val="24"/>
          <w:highlight w:val="none"/>
        </w:rPr>
        <w:t>项目</w:t>
      </w:r>
      <w:r>
        <w:rPr>
          <w:rFonts w:hint="eastAsia" w:asciiTheme="minorEastAsia" w:hAnsiTheme="minorEastAsia" w:eastAsiaTheme="minorEastAsia"/>
          <w:color w:val="auto"/>
          <w:kern w:val="2"/>
          <w:sz w:val="24"/>
          <w:szCs w:val="24"/>
          <w:highlight w:val="none"/>
        </w:rPr>
        <w:t>应遵循以下主要现行的国家、行业标准和规程（请选所列标准中适用本标段的标准）</w:t>
      </w:r>
    </w:p>
    <w:p w14:paraId="5BFAB789">
      <w:pPr>
        <w:widowControl w:val="0"/>
        <w:spacing w:line="360" w:lineRule="auto"/>
        <w:jc w:val="both"/>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3</w:t>
      </w:r>
      <w:bookmarkStart w:id="62" w:name="_Toc339543884"/>
      <w:r>
        <w:rPr>
          <w:rFonts w:hint="eastAsia" w:cs="仿宋" w:asciiTheme="minorEastAsia" w:hAnsiTheme="minorEastAsia" w:eastAsiaTheme="minorEastAsia"/>
          <w:color w:val="auto"/>
          <w:kern w:val="2"/>
          <w:sz w:val="24"/>
          <w:szCs w:val="24"/>
          <w:highlight w:val="none"/>
        </w:rPr>
        <w:t>.3.1.1 电力建设工程施工及验收规范、质量验评标准</w:t>
      </w:r>
    </w:p>
    <w:bookmarkEnd w:id="62"/>
    <w:tbl>
      <w:tblPr>
        <w:tblStyle w:val="58"/>
        <w:tblW w:w="485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5716"/>
        <w:gridCol w:w="2544"/>
      </w:tblGrid>
      <w:tr w14:paraId="30F992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19" w:type="pct"/>
            <w:shd w:val="clear" w:color="auto" w:fill="auto"/>
            <w:vAlign w:val="center"/>
          </w:tcPr>
          <w:p w14:paraId="28642091">
            <w:pPr>
              <w:keepNext/>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编号</w:t>
            </w:r>
          </w:p>
        </w:tc>
        <w:tc>
          <w:tcPr>
            <w:tcW w:w="3170" w:type="pct"/>
            <w:shd w:val="clear" w:color="auto" w:fill="auto"/>
            <w:vAlign w:val="center"/>
          </w:tcPr>
          <w:p w14:paraId="3D34D610">
            <w:pPr>
              <w:keepNext/>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名　　　　称</w:t>
            </w:r>
          </w:p>
        </w:tc>
        <w:tc>
          <w:tcPr>
            <w:tcW w:w="1411" w:type="pct"/>
            <w:shd w:val="clear" w:color="auto" w:fill="auto"/>
            <w:vAlign w:val="center"/>
          </w:tcPr>
          <w:p w14:paraId="1800E30A">
            <w:pPr>
              <w:keepNext/>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现行有效标准</w:t>
            </w:r>
          </w:p>
        </w:tc>
      </w:tr>
      <w:tr w14:paraId="14D6C1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52D0B8C">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w:t>
            </w:r>
          </w:p>
        </w:tc>
        <w:tc>
          <w:tcPr>
            <w:tcW w:w="3170" w:type="pct"/>
            <w:shd w:val="clear" w:color="auto" w:fill="auto"/>
            <w:vAlign w:val="center"/>
          </w:tcPr>
          <w:p w14:paraId="542E2A6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第1部分：土建结构工程</w:t>
            </w:r>
          </w:p>
        </w:tc>
        <w:tc>
          <w:tcPr>
            <w:tcW w:w="1411" w:type="pct"/>
            <w:shd w:val="clear" w:color="auto" w:fill="auto"/>
            <w:vAlign w:val="center"/>
          </w:tcPr>
          <w:p w14:paraId="1F09F994">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 5190.1-2022</w:t>
            </w:r>
          </w:p>
        </w:tc>
      </w:tr>
      <w:tr w14:paraId="02C58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218DFB3A">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2</w:t>
            </w:r>
          </w:p>
        </w:tc>
        <w:tc>
          <w:tcPr>
            <w:tcW w:w="3170" w:type="pct"/>
            <w:shd w:val="clear" w:color="auto" w:fill="auto"/>
            <w:vAlign w:val="center"/>
          </w:tcPr>
          <w:p w14:paraId="34C04354">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第2部分：锅炉机组</w:t>
            </w:r>
          </w:p>
        </w:tc>
        <w:tc>
          <w:tcPr>
            <w:tcW w:w="1411" w:type="pct"/>
            <w:shd w:val="clear" w:color="auto" w:fill="auto"/>
            <w:vAlign w:val="center"/>
          </w:tcPr>
          <w:p w14:paraId="336C495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lang w:eastAsia="zh-CN"/>
              </w:rPr>
              <w:t>DL 5190.2-2019</w:t>
            </w:r>
          </w:p>
        </w:tc>
      </w:tr>
      <w:tr w14:paraId="18BFF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257B2092">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3</w:t>
            </w:r>
          </w:p>
        </w:tc>
        <w:tc>
          <w:tcPr>
            <w:tcW w:w="3170" w:type="pct"/>
            <w:shd w:val="clear" w:color="auto" w:fill="auto"/>
            <w:vAlign w:val="center"/>
          </w:tcPr>
          <w:p w14:paraId="4A9A2D1D">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第3部分：汽轮发电机组</w:t>
            </w:r>
          </w:p>
        </w:tc>
        <w:tc>
          <w:tcPr>
            <w:tcW w:w="1411" w:type="pct"/>
            <w:shd w:val="clear" w:color="auto" w:fill="auto"/>
            <w:vAlign w:val="center"/>
          </w:tcPr>
          <w:p w14:paraId="6F26CB29">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lang w:eastAsia="zh-CN"/>
              </w:rPr>
              <w:t>DL 5190.3-2019</w:t>
            </w:r>
          </w:p>
        </w:tc>
      </w:tr>
      <w:tr w14:paraId="36F9DF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33D5FB2">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4</w:t>
            </w:r>
          </w:p>
        </w:tc>
        <w:tc>
          <w:tcPr>
            <w:tcW w:w="3170" w:type="pct"/>
            <w:shd w:val="clear" w:color="auto" w:fill="auto"/>
            <w:vAlign w:val="center"/>
          </w:tcPr>
          <w:p w14:paraId="4768970B">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第4部分:热工仪表及控制装置</w:t>
            </w:r>
          </w:p>
        </w:tc>
        <w:tc>
          <w:tcPr>
            <w:tcW w:w="1411" w:type="pct"/>
            <w:shd w:val="clear" w:color="auto" w:fill="auto"/>
            <w:vAlign w:val="center"/>
          </w:tcPr>
          <w:p w14:paraId="7258F3E2">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DL5190.4—2019</w:t>
            </w:r>
          </w:p>
        </w:tc>
      </w:tr>
      <w:tr w14:paraId="07995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CBC3210">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5</w:t>
            </w:r>
          </w:p>
        </w:tc>
        <w:tc>
          <w:tcPr>
            <w:tcW w:w="3170" w:type="pct"/>
            <w:shd w:val="clear" w:color="auto" w:fill="auto"/>
            <w:vAlign w:val="center"/>
          </w:tcPr>
          <w:p w14:paraId="13EFBCD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电力建设施工技术规范 第5部分：管道及系统</w:t>
            </w:r>
          </w:p>
        </w:tc>
        <w:tc>
          <w:tcPr>
            <w:tcW w:w="1411" w:type="pct"/>
            <w:shd w:val="clear" w:color="auto" w:fill="auto"/>
            <w:vAlign w:val="center"/>
          </w:tcPr>
          <w:p w14:paraId="3FAEB7D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DL5190.5—2019</w:t>
            </w:r>
          </w:p>
        </w:tc>
      </w:tr>
      <w:tr w14:paraId="0FD4C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25044E0">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6</w:t>
            </w:r>
          </w:p>
        </w:tc>
        <w:tc>
          <w:tcPr>
            <w:tcW w:w="3170" w:type="pct"/>
            <w:shd w:val="clear" w:color="auto" w:fill="auto"/>
            <w:vAlign w:val="center"/>
          </w:tcPr>
          <w:p w14:paraId="6176D1A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金属熔化焊对接接头射线检测技术和质量分级</w:t>
            </w:r>
          </w:p>
        </w:tc>
        <w:tc>
          <w:tcPr>
            <w:tcW w:w="1411" w:type="pct"/>
            <w:shd w:val="clear" w:color="auto" w:fill="auto"/>
            <w:vAlign w:val="center"/>
          </w:tcPr>
          <w:p w14:paraId="00E42124">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 821-2017</w:t>
            </w:r>
          </w:p>
        </w:tc>
      </w:tr>
      <w:tr w14:paraId="039328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222F532E">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7</w:t>
            </w:r>
          </w:p>
        </w:tc>
        <w:tc>
          <w:tcPr>
            <w:tcW w:w="3170" w:type="pct"/>
            <w:shd w:val="clear" w:color="auto" w:fill="auto"/>
            <w:vAlign w:val="center"/>
          </w:tcPr>
          <w:p w14:paraId="7924BBC1">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第1部分：土建工程</w:t>
            </w:r>
          </w:p>
        </w:tc>
        <w:tc>
          <w:tcPr>
            <w:tcW w:w="1411" w:type="pct"/>
            <w:shd w:val="clear" w:color="auto" w:fill="auto"/>
            <w:vAlign w:val="center"/>
          </w:tcPr>
          <w:p w14:paraId="3FF6596C">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DL/T5210.1-2021</w:t>
            </w:r>
          </w:p>
        </w:tc>
      </w:tr>
      <w:tr w14:paraId="39CC2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0AA02F0F">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8</w:t>
            </w:r>
          </w:p>
        </w:tc>
        <w:tc>
          <w:tcPr>
            <w:tcW w:w="3170" w:type="pct"/>
            <w:shd w:val="clear" w:color="auto" w:fill="auto"/>
            <w:vAlign w:val="center"/>
          </w:tcPr>
          <w:p w14:paraId="6E8DBBC2">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第2部分：锅炉机组</w:t>
            </w:r>
          </w:p>
        </w:tc>
        <w:tc>
          <w:tcPr>
            <w:tcW w:w="1411" w:type="pct"/>
            <w:shd w:val="clear" w:color="auto" w:fill="auto"/>
            <w:vAlign w:val="center"/>
          </w:tcPr>
          <w:p w14:paraId="595F0C0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DL/T5210.2-2018</w:t>
            </w:r>
          </w:p>
        </w:tc>
      </w:tr>
      <w:tr w14:paraId="2B921F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6D7AEF3F">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9</w:t>
            </w:r>
          </w:p>
        </w:tc>
        <w:tc>
          <w:tcPr>
            <w:tcW w:w="3170" w:type="pct"/>
            <w:shd w:val="clear" w:color="auto" w:fill="auto"/>
            <w:vAlign w:val="center"/>
          </w:tcPr>
          <w:p w14:paraId="3146C04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第3部分：汽轮发电机组</w:t>
            </w:r>
          </w:p>
        </w:tc>
        <w:tc>
          <w:tcPr>
            <w:tcW w:w="1411" w:type="pct"/>
            <w:shd w:val="clear" w:color="auto" w:fill="auto"/>
            <w:vAlign w:val="center"/>
          </w:tcPr>
          <w:p w14:paraId="274D9F8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DL/T5210.3-2018</w:t>
            </w:r>
          </w:p>
        </w:tc>
      </w:tr>
      <w:tr w14:paraId="4436E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51393095">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10</w:t>
            </w:r>
          </w:p>
        </w:tc>
        <w:tc>
          <w:tcPr>
            <w:tcW w:w="3170" w:type="pct"/>
            <w:shd w:val="clear" w:color="auto" w:fill="auto"/>
            <w:vAlign w:val="center"/>
          </w:tcPr>
          <w:p w14:paraId="448A871E">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第4部分：热工仪表及控制装置</w:t>
            </w:r>
          </w:p>
        </w:tc>
        <w:tc>
          <w:tcPr>
            <w:tcW w:w="1411" w:type="pct"/>
            <w:shd w:val="clear" w:color="auto" w:fill="auto"/>
            <w:vAlign w:val="center"/>
          </w:tcPr>
          <w:p w14:paraId="34701CBE">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DL/T5210.4-2018</w:t>
            </w:r>
          </w:p>
        </w:tc>
      </w:tr>
      <w:tr w14:paraId="13DB0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EE6E1B3">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11</w:t>
            </w:r>
          </w:p>
        </w:tc>
        <w:tc>
          <w:tcPr>
            <w:tcW w:w="3170" w:type="pct"/>
            <w:shd w:val="clear" w:color="auto" w:fill="auto"/>
            <w:vAlign w:val="center"/>
          </w:tcPr>
          <w:p w14:paraId="174DA21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第5部分：焊接</w:t>
            </w:r>
          </w:p>
        </w:tc>
        <w:tc>
          <w:tcPr>
            <w:tcW w:w="1411" w:type="pct"/>
            <w:shd w:val="clear" w:color="auto" w:fill="auto"/>
            <w:vAlign w:val="center"/>
          </w:tcPr>
          <w:p w14:paraId="670D9C7C">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DL/T5210.5-2018</w:t>
            </w:r>
          </w:p>
        </w:tc>
      </w:tr>
      <w:tr w14:paraId="4A43C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BEDE214">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12</w:t>
            </w:r>
          </w:p>
        </w:tc>
        <w:tc>
          <w:tcPr>
            <w:tcW w:w="3170" w:type="pct"/>
            <w:shd w:val="clear" w:color="auto" w:fill="auto"/>
            <w:vAlign w:val="center"/>
          </w:tcPr>
          <w:p w14:paraId="67E12F80">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电力建设施工质量验收规程 第6部分：调整试验</w:t>
            </w:r>
          </w:p>
        </w:tc>
        <w:tc>
          <w:tcPr>
            <w:tcW w:w="1411" w:type="pct"/>
            <w:shd w:val="clear" w:color="auto" w:fill="auto"/>
            <w:vAlign w:val="center"/>
          </w:tcPr>
          <w:p w14:paraId="5E883895">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lang w:eastAsia="zh-CN"/>
              </w:rPr>
              <w:t>DL 5190.6-2019</w:t>
            </w:r>
          </w:p>
        </w:tc>
      </w:tr>
      <w:tr w14:paraId="5DA02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3CD347B6">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13</w:t>
            </w:r>
          </w:p>
        </w:tc>
        <w:tc>
          <w:tcPr>
            <w:tcW w:w="3170" w:type="pct"/>
            <w:shd w:val="clear" w:color="auto" w:fill="auto"/>
            <w:vAlign w:val="center"/>
          </w:tcPr>
          <w:p w14:paraId="22A2C1C9">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电气装置安装工程 高压电器施工及验收规范</w:t>
            </w:r>
          </w:p>
        </w:tc>
        <w:tc>
          <w:tcPr>
            <w:tcW w:w="1411" w:type="pct"/>
            <w:shd w:val="clear" w:color="auto" w:fill="auto"/>
            <w:vAlign w:val="center"/>
          </w:tcPr>
          <w:p w14:paraId="1537E383">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GB50147-2010</w:t>
            </w:r>
          </w:p>
        </w:tc>
      </w:tr>
      <w:tr w14:paraId="33A8C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734CD353">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14</w:t>
            </w:r>
          </w:p>
        </w:tc>
        <w:tc>
          <w:tcPr>
            <w:tcW w:w="3170" w:type="pct"/>
            <w:shd w:val="clear" w:color="auto" w:fill="auto"/>
            <w:vAlign w:val="center"/>
          </w:tcPr>
          <w:p w14:paraId="17614162">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电气装置安装工程 旋转电机施工及验收标准</w:t>
            </w:r>
          </w:p>
        </w:tc>
        <w:tc>
          <w:tcPr>
            <w:tcW w:w="1411" w:type="pct"/>
            <w:shd w:val="clear" w:color="auto" w:fill="auto"/>
            <w:vAlign w:val="center"/>
          </w:tcPr>
          <w:p w14:paraId="4F09F6E8">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GB50170-2018</w:t>
            </w:r>
          </w:p>
        </w:tc>
      </w:tr>
      <w:tr w14:paraId="6B8541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645F951">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15</w:t>
            </w:r>
          </w:p>
        </w:tc>
        <w:tc>
          <w:tcPr>
            <w:tcW w:w="3170" w:type="pct"/>
            <w:shd w:val="clear" w:color="auto" w:fill="auto"/>
            <w:vAlign w:val="center"/>
          </w:tcPr>
          <w:p w14:paraId="49A30BF8">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电气装置安装工程 盘、柜及二次回路接线施工及验收规范</w:t>
            </w:r>
          </w:p>
        </w:tc>
        <w:tc>
          <w:tcPr>
            <w:tcW w:w="1411" w:type="pct"/>
            <w:shd w:val="clear" w:color="auto" w:fill="auto"/>
            <w:vAlign w:val="center"/>
          </w:tcPr>
          <w:p w14:paraId="0911260E">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GB 50171—2012</w:t>
            </w:r>
          </w:p>
        </w:tc>
      </w:tr>
      <w:tr w14:paraId="38B5E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9" w:type="pct"/>
            <w:shd w:val="clear" w:color="auto" w:fill="auto"/>
            <w:vAlign w:val="center"/>
          </w:tcPr>
          <w:p w14:paraId="4AAE3CBD">
            <w:pPr>
              <w:spacing w:line="320" w:lineRule="exact"/>
              <w:jc w:val="center"/>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16</w:t>
            </w:r>
          </w:p>
        </w:tc>
        <w:tc>
          <w:tcPr>
            <w:tcW w:w="3170" w:type="pct"/>
            <w:shd w:val="clear" w:color="auto" w:fill="auto"/>
            <w:vAlign w:val="center"/>
          </w:tcPr>
          <w:p w14:paraId="3E99E067">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火力发电建设工程启动试运及验收规程</w:t>
            </w:r>
          </w:p>
        </w:tc>
        <w:tc>
          <w:tcPr>
            <w:tcW w:w="1411" w:type="pct"/>
            <w:shd w:val="clear" w:color="auto" w:fill="auto"/>
            <w:vAlign w:val="center"/>
          </w:tcPr>
          <w:p w14:paraId="3EE04B9F">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DL/T5437-2022</w:t>
            </w:r>
          </w:p>
        </w:tc>
      </w:tr>
    </w:tbl>
    <w:p w14:paraId="09F9272D">
      <w:pPr>
        <w:widowControl w:val="0"/>
        <w:spacing w:line="360" w:lineRule="auto"/>
        <w:jc w:val="both"/>
        <w:rPr>
          <w:rFonts w:cs="仿宋" w:asciiTheme="minorEastAsia" w:hAnsiTheme="minorEastAsia" w:eastAsiaTheme="minorEastAsia"/>
          <w:color w:val="auto"/>
          <w:kern w:val="2"/>
          <w:sz w:val="24"/>
          <w:szCs w:val="24"/>
          <w:highlight w:val="none"/>
        </w:rPr>
      </w:pPr>
    </w:p>
    <w:p w14:paraId="72B0D59C">
      <w:pPr>
        <w:widowControl w:val="0"/>
        <w:spacing w:line="360" w:lineRule="auto"/>
        <w:jc w:val="both"/>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3.3.1.2主要的标准和规范</w:t>
      </w:r>
    </w:p>
    <w:tbl>
      <w:tblPr>
        <w:tblStyle w:val="58"/>
        <w:tblW w:w="8080" w:type="dxa"/>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9"/>
        <w:gridCol w:w="5103"/>
        <w:gridCol w:w="2268"/>
      </w:tblGrid>
      <w:tr w14:paraId="03BEA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71962F4">
            <w:pPr>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序号</w:t>
            </w:r>
          </w:p>
        </w:tc>
        <w:tc>
          <w:tcPr>
            <w:tcW w:w="5103" w:type="dxa"/>
            <w:vAlign w:val="center"/>
          </w:tcPr>
          <w:p w14:paraId="57343CD5">
            <w:pPr>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名称</w:t>
            </w:r>
          </w:p>
        </w:tc>
        <w:tc>
          <w:tcPr>
            <w:tcW w:w="2268" w:type="dxa"/>
            <w:vAlign w:val="center"/>
          </w:tcPr>
          <w:p w14:paraId="4A3C045B">
            <w:pPr>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现行有效版本</w:t>
            </w:r>
          </w:p>
        </w:tc>
      </w:tr>
      <w:tr w14:paraId="6E7E52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28D01C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w:t>
            </w:r>
          </w:p>
        </w:tc>
        <w:tc>
          <w:tcPr>
            <w:tcW w:w="5103" w:type="dxa"/>
            <w:vAlign w:val="center"/>
          </w:tcPr>
          <w:p w14:paraId="36195FC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大中型火力发电厂设计规范</w:t>
            </w:r>
          </w:p>
        </w:tc>
        <w:tc>
          <w:tcPr>
            <w:tcW w:w="2268" w:type="dxa"/>
            <w:vAlign w:val="center"/>
          </w:tcPr>
          <w:p w14:paraId="73D494F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GB50660-2011</w:t>
            </w:r>
          </w:p>
        </w:tc>
      </w:tr>
      <w:tr w14:paraId="5EF709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AAF983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w:t>
            </w:r>
          </w:p>
        </w:tc>
        <w:tc>
          <w:tcPr>
            <w:tcW w:w="5103" w:type="dxa"/>
            <w:vAlign w:val="center"/>
          </w:tcPr>
          <w:p w14:paraId="21D47BA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b/>
                <w:bCs/>
                <w:color w:val="auto"/>
                <w:sz w:val="24"/>
                <w:szCs w:val="24"/>
                <w:highlight w:val="none"/>
              </w:rPr>
              <w:t>火力发电厂汽水管道设计规范</w:t>
            </w:r>
          </w:p>
        </w:tc>
        <w:tc>
          <w:tcPr>
            <w:tcW w:w="2268" w:type="dxa"/>
            <w:vAlign w:val="center"/>
          </w:tcPr>
          <w:p w14:paraId="7EF796A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5054-2016</w:t>
            </w:r>
          </w:p>
        </w:tc>
      </w:tr>
      <w:tr w14:paraId="3AFEC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0C86F24">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w:t>
            </w:r>
          </w:p>
        </w:tc>
        <w:tc>
          <w:tcPr>
            <w:tcW w:w="5103" w:type="dxa"/>
            <w:vAlign w:val="center"/>
          </w:tcPr>
          <w:p w14:paraId="381D8A4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火力发电厂与变电站设计防火标准</w:t>
            </w:r>
          </w:p>
        </w:tc>
        <w:tc>
          <w:tcPr>
            <w:tcW w:w="2268" w:type="dxa"/>
            <w:vAlign w:val="center"/>
          </w:tcPr>
          <w:p w14:paraId="02E63ED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GB50229-2019</w:t>
            </w:r>
          </w:p>
        </w:tc>
      </w:tr>
      <w:tr w14:paraId="6388E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51F269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w:t>
            </w:r>
          </w:p>
        </w:tc>
        <w:tc>
          <w:tcPr>
            <w:tcW w:w="5103" w:type="dxa"/>
            <w:vAlign w:val="center"/>
          </w:tcPr>
          <w:p w14:paraId="1139F66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工业企业设计卫生标准</w:t>
            </w:r>
          </w:p>
        </w:tc>
        <w:tc>
          <w:tcPr>
            <w:tcW w:w="2268" w:type="dxa"/>
            <w:vAlign w:val="center"/>
          </w:tcPr>
          <w:p w14:paraId="38C5707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GBZ1-2010</w:t>
            </w:r>
          </w:p>
        </w:tc>
      </w:tr>
      <w:tr w14:paraId="4EEB6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06B6412">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5</w:t>
            </w:r>
          </w:p>
        </w:tc>
        <w:tc>
          <w:tcPr>
            <w:tcW w:w="5103" w:type="dxa"/>
            <w:vAlign w:val="center"/>
          </w:tcPr>
          <w:p w14:paraId="3E90CF10">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工作场所有害因素职业接触限值 第1部分：化学有害因素</w:t>
            </w:r>
          </w:p>
        </w:tc>
        <w:tc>
          <w:tcPr>
            <w:tcW w:w="2268" w:type="dxa"/>
            <w:vAlign w:val="center"/>
          </w:tcPr>
          <w:p w14:paraId="069C207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GBZ2.1-2019</w:t>
            </w:r>
          </w:p>
        </w:tc>
      </w:tr>
      <w:tr w14:paraId="549DC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3F0A96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6</w:t>
            </w:r>
          </w:p>
        </w:tc>
        <w:tc>
          <w:tcPr>
            <w:tcW w:w="5103" w:type="dxa"/>
            <w:vAlign w:val="center"/>
          </w:tcPr>
          <w:p w14:paraId="3644A4D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工作场所有害因素职业接触限值 第2部分：物理因素</w:t>
            </w:r>
          </w:p>
        </w:tc>
        <w:tc>
          <w:tcPr>
            <w:tcW w:w="2268" w:type="dxa"/>
            <w:vAlign w:val="center"/>
          </w:tcPr>
          <w:p w14:paraId="5C2E259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GBZ2.2-2007</w:t>
            </w:r>
          </w:p>
        </w:tc>
      </w:tr>
      <w:tr w14:paraId="22826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81850C4">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7</w:t>
            </w:r>
          </w:p>
        </w:tc>
        <w:tc>
          <w:tcPr>
            <w:tcW w:w="5103" w:type="dxa"/>
            <w:vAlign w:val="center"/>
          </w:tcPr>
          <w:p w14:paraId="1FD4268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火力发电厂烟风煤粉管道设计规范</w:t>
            </w:r>
          </w:p>
        </w:tc>
        <w:tc>
          <w:tcPr>
            <w:tcW w:w="2268" w:type="dxa"/>
            <w:vAlign w:val="center"/>
          </w:tcPr>
          <w:p w14:paraId="4946999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5121-2020</w:t>
            </w:r>
          </w:p>
        </w:tc>
      </w:tr>
      <w:tr w14:paraId="7638F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5458C6D">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8</w:t>
            </w:r>
          </w:p>
        </w:tc>
        <w:tc>
          <w:tcPr>
            <w:tcW w:w="5103" w:type="dxa"/>
            <w:vAlign w:val="center"/>
          </w:tcPr>
          <w:p w14:paraId="61C2323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发电厂保温油漆设计规程</w:t>
            </w:r>
          </w:p>
        </w:tc>
        <w:tc>
          <w:tcPr>
            <w:tcW w:w="2268" w:type="dxa"/>
            <w:vAlign w:val="center"/>
          </w:tcPr>
          <w:p w14:paraId="18AFF47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5072-2019</w:t>
            </w:r>
          </w:p>
        </w:tc>
      </w:tr>
      <w:tr w14:paraId="3F4BC0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8537329">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9</w:t>
            </w:r>
          </w:p>
        </w:tc>
        <w:tc>
          <w:tcPr>
            <w:tcW w:w="5103" w:type="dxa"/>
            <w:vAlign w:val="center"/>
          </w:tcPr>
          <w:p w14:paraId="5E87013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固定式压力容器安全技术监察规程</w:t>
            </w:r>
          </w:p>
        </w:tc>
        <w:tc>
          <w:tcPr>
            <w:tcW w:w="2268" w:type="dxa"/>
            <w:vAlign w:val="center"/>
          </w:tcPr>
          <w:p w14:paraId="0E68D68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TSG 21-2016</w:t>
            </w:r>
          </w:p>
        </w:tc>
      </w:tr>
      <w:tr w14:paraId="409C9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0" w:hRule="atLeast"/>
        </w:trPr>
        <w:tc>
          <w:tcPr>
            <w:tcW w:w="709" w:type="dxa"/>
            <w:vAlign w:val="center"/>
          </w:tcPr>
          <w:p w14:paraId="6DE3B9E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10</w:t>
            </w:r>
          </w:p>
        </w:tc>
        <w:tc>
          <w:tcPr>
            <w:tcW w:w="5103" w:type="dxa"/>
            <w:shd w:val="clear" w:color="auto" w:fill="auto"/>
            <w:vAlign w:val="center"/>
          </w:tcPr>
          <w:p w14:paraId="7C5403A9">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火力发电厂焊接技术规程</w:t>
            </w:r>
          </w:p>
        </w:tc>
        <w:tc>
          <w:tcPr>
            <w:tcW w:w="2268" w:type="dxa"/>
            <w:shd w:val="clear" w:color="auto" w:fill="auto"/>
            <w:vAlign w:val="center"/>
          </w:tcPr>
          <w:p w14:paraId="786F9BFA">
            <w:pPr>
              <w:spacing w:line="320" w:lineRule="exact"/>
              <w:rPr>
                <w:rFonts w:cs="仿宋" w:asciiTheme="minorEastAsia" w:hAnsiTheme="minorEastAsia" w:eastAsiaTheme="minorEastAsia"/>
                <w:color w:val="auto"/>
                <w:kern w:val="2"/>
                <w:sz w:val="24"/>
                <w:szCs w:val="24"/>
                <w:highlight w:val="none"/>
              </w:rPr>
            </w:pPr>
            <w:r>
              <w:rPr>
                <w:rFonts w:hint="eastAsia" w:cs="仿宋" w:asciiTheme="minorEastAsia" w:hAnsiTheme="minorEastAsia" w:eastAsiaTheme="minorEastAsia"/>
                <w:color w:val="auto"/>
                <w:kern w:val="2"/>
                <w:sz w:val="24"/>
                <w:szCs w:val="24"/>
                <w:highlight w:val="none"/>
              </w:rPr>
              <w:t>DL/T869-2021</w:t>
            </w:r>
          </w:p>
        </w:tc>
      </w:tr>
      <w:tr w14:paraId="17D67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6EAEA8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11</w:t>
            </w:r>
          </w:p>
        </w:tc>
        <w:tc>
          <w:tcPr>
            <w:tcW w:w="5103" w:type="dxa"/>
            <w:vAlign w:val="center"/>
          </w:tcPr>
          <w:p w14:paraId="22AFEF6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钢制对焊管件  类型与参数</w:t>
            </w:r>
          </w:p>
        </w:tc>
        <w:tc>
          <w:tcPr>
            <w:tcW w:w="2268" w:type="dxa"/>
            <w:vAlign w:val="center"/>
          </w:tcPr>
          <w:p w14:paraId="0CA662F7">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GB/T 12459-2017</w:t>
            </w:r>
          </w:p>
        </w:tc>
      </w:tr>
      <w:tr w14:paraId="6A903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4C96E2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12</w:t>
            </w:r>
          </w:p>
        </w:tc>
        <w:tc>
          <w:tcPr>
            <w:tcW w:w="5103" w:type="dxa"/>
            <w:vAlign w:val="center"/>
          </w:tcPr>
          <w:p w14:paraId="020A4E3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承压设备无损检测</w:t>
            </w:r>
          </w:p>
        </w:tc>
        <w:tc>
          <w:tcPr>
            <w:tcW w:w="2268" w:type="dxa"/>
            <w:vAlign w:val="center"/>
          </w:tcPr>
          <w:p w14:paraId="44E5376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NB/T 47013.16-2024</w:t>
            </w:r>
          </w:p>
        </w:tc>
      </w:tr>
      <w:tr w14:paraId="325C1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340AF6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13</w:t>
            </w:r>
          </w:p>
        </w:tc>
        <w:tc>
          <w:tcPr>
            <w:tcW w:w="5103" w:type="dxa"/>
            <w:vAlign w:val="center"/>
          </w:tcPr>
          <w:p w14:paraId="5D5E7E2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压力容器涂敷与运输包装</w:t>
            </w:r>
          </w:p>
        </w:tc>
        <w:tc>
          <w:tcPr>
            <w:tcW w:w="2268" w:type="dxa"/>
            <w:vAlign w:val="center"/>
          </w:tcPr>
          <w:p w14:paraId="612AA715">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NB/T 10558-2021</w:t>
            </w:r>
          </w:p>
        </w:tc>
      </w:tr>
      <w:tr w14:paraId="0175D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BCA4D8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14</w:t>
            </w:r>
          </w:p>
        </w:tc>
        <w:tc>
          <w:tcPr>
            <w:tcW w:w="5103" w:type="dxa"/>
            <w:vAlign w:val="center"/>
          </w:tcPr>
          <w:p w14:paraId="42852DB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钢制焊接常压容器</w:t>
            </w:r>
          </w:p>
        </w:tc>
        <w:tc>
          <w:tcPr>
            <w:tcW w:w="2268" w:type="dxa"/>
            <w:vAlign w:val="center"/>
          </w:tcPr>
          <w:p w14:paraId="634AAF1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NB/T 47003.1-2022</w:t>
            </w:r>
          </w:p>
        </w:tc>
      </w:tr>
      <w:tr w14:paraId="74A5F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58F7E9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15</w:t>
            </w:r>
          </w:p>
        </w:tc>
        <w:tc>
          <w:tcPr>
            <w:tcW w:w="5103" w:type="dxa"/>
            <w:vAlign w:val="center"/>
          </w:tcPr>
          <w:p w14:paraId="3876A13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锅炉平台扶梯技术规范</w:t>
            </w:r>
          </w:p>
        </w:tc>
        <w:tc>
          <w:tcPr>
            <w:tcW w:w="2268" w:type="dxa"/>
            <w:vAlign w:val="center"/>
          </w:tcPr>
          <w:p w14:paraId="7D696DD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T/CEC 323-2020</w:t>
            </w:r>
          </w:p>
        </w:tc>
      </w:tr>
      <w:tr w14:paraId="0C9FE1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8BAEE4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16</w:t>
            </w:r>
          </w:p>
        </w:tc>
        <w:tc>
          <w:tcPr>
            <w:tcW w:w="5103" w:type="dxa"/>
            <w:vAlign w:val="center"/>
          </w:tcPr>
          <w:p w14:paraId="75552B9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固定式钢梯及平台安全要求</w:t>
            </w:r>
          </w:p>
        </w:tc>
        <w:tc>
          <w:tcPr>
            <w:tcW w:w="2268" w:type="dxa"/>
            <w:vAlign w:val="center"/>
          </w:tcPr>
          <w:p w14:paraId="77D223B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4053.1-3-2009</w:t>
            </w:r>
          </w:p>
        </w:tc>
      </w:tr>
      <w:tr w14:paraId="1343E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C735F5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17</w:t>
            </w:r>
          </w:p>
        </w:tc>
        <w:tc>
          <w:tcPr>
            <w:tcW w:w="5103" w:type="dxa"/>
            <w:vAlign w:val="center"/>
          </w:tcPr>
          <w:p w14:paraId="3397096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火力发电厂金属技术监督规程</w:t>
            </w:r>
          </w:p>
        </w:tc>
        <w:tc>
          <w:tcPr>
            <w:tcW w:w="2268" w:type="dxa"/>
            <w:vAlign w:val="center"/>
          </w:tcPr>
          <w:p w14:paraId="676B6342">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438-2023</w:t>
            </w:r>
          </w:p>
        </w:tc>
      </w:tr>
      <w:tr w14:paraId="20AE2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9D1A23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18</w:t>
            </w:r>
          </w:p>
        </w:tc>
        <w:tc>
          <w:tcPr>
            <w:tcW w:w="5103" w:type="dxa"/>
            <w:vAlign w:val="center"/>
          </w:tcPr>
          <w:p w14:paraId="7DB32E5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火力发电厂焊接技术规程</w:t>
            </w:r>
          </w:p>
        </w:tc>
        <w:tc>
          <w:tcPr>
            <w:tcW w:w="2268" w:type="dxa"/>
            <w:vAlign w:val="center"/>
          </w:tcPr>
          <w:p w14:paraId="0A68BF9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869-2021</w:t>
            </w:r>
          </w:p>
        </w:tc>
      </w:tr>
      <w:tr w14:paraId="744DF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0803FCC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20</w:t>
            </w:r>
          </w:p>
        </w:tc>
        <w:tc>
          <w:tcPr>
            <w:tcW w:w="5103" w:type="dxa"/>
            <w:vAlign w:val="center"/>
          </w:tcPr>
          <w:p w14:paraId="2E4451A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火电厂烟气脱硝技术导则</w:t>
            </w:r>
          </w:p>
        </w:tc>
        <w:tc>
          <w:tcPr>
            <w:tcW w:w="2268" w:type="dxa"/>
            <w:vAlign w:val="center"/>
          </w:tcPr>
          <w:p w14:paraId="31970A2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296-2023</w:t>
            </w:r>
          </w:p>
        </w:tc>
      </w:tr>
      <w:tr w14:paraId="73DE72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C0B889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21</w:t>
            </w:r>
          </w:p>
        </w:tc>
        <w:tc>
          <w:tcPr>
            <w:tcW w:w="5103" w:type="dxa"/>
            <w:vAlign w:val="center"/>
          </w:tcPr>
          <w:p w14:paraId="5697B1F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火力发电厂厂用电设计技术规程</w:t>
            </w:r>
          </w:p>
        </w:tc>
        <w:tc>
          <w:tcPr>
            <w:tcW w:w="2268" w:type="dxa"/>
            <w:vAlign w:val="center"/>
          </w:tcPr>
          <w:p w14:paraId="4D9FF60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5153-2014</w:t>
            </w:r>
          </w:p>
        </w:tc>
      </w:tr>
      <w:tr w14:paraId="4EAAFA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5AE8A2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22</w:t>
            </w:r>
          </w:p>
        </w:tc>
        <w:tc>
          <w:tcPr>
            <w:tcW w:w="5103" w:type="dxa"/>
            <w:vAlign w:val="center"/>
          </w:tcPr>
          <w:p w14:paraId="3CFB23E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火力发电厂和变电站照明设计技术规定</w:t>
            </w:r>
          </w:p>
        </w:tc>
        <w:tc>
          <w:tcPr>
            <w:tcW w:w="2268" w:type="dxa"/>
            <w:vAlign w:val="center"/>
          </w:tcPr>
          <w:p w14:paraId="0AC3F3D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5390-2014</w:t>
            </w:r>
          </w:p>
        </w:tc>
      </w:tr>
      <w:tr w14:paraId="5A16A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D3D9C09">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23</w:t>
            </w:r>
          </w:p>
        </w:tc>
        <w:tc>
          <w:tcPr>
            <w:tcW w:w="5103" w:type="dxa"/>
            <w:vAlign w:val="center"/>
          </w:tcPr>
          <w:p w14:paraId="1E37A1E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外壳防护等级(IP代码) </w:t>
            </w:r>
          </w:p>
        </w:tc>
        <w:tc>
          <w:tcPr>
            <w:tcW w:w="2268" w:type="dxa"/>
            <w:vAlign w:val="center"/>
          </w:tcPr>
          <w:p w14:paraId="20DD6E1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GB/T 4208-2017</w:t>
            </w:r>
          </w:p>
        </w:tc>
      </w:tr>
      <w:tr w14:paraId="5FAD7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560EB8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24</w:t>
            </w:r>
          </w:p>
        </w:tc>
        <w:tc>
          <w:tcPr>
            <w:tcW w:w="5103" w:type="dxa"/>
            <w:vAlign w:val="center"/>
          </w:tcPr>
          <w:p w14:paraId="23167FA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火力发电厂、变电所二次接线设计技术规程</w:t>
            </w:r>
          </w:p>
        </w:tc>
        <w:tc>
          <w:tcPr>
            <w:tcW w:w="2268" w:type="dxa"/>
            <w:vAlign w:val="center"/>
          </w:tcPr>
          <w:p w14:paraId="1C537DD7">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5136-2012</w:t>
            </w:r>
          </w:p>
        </w:tc>
      </w:tr>
      <w:tr w14:paraId="4AC9F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FB8973F">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25</w:t>
            </w:r>
          </w:p>
        </w:tc>
        <w:tc>
          <w:tcPr>
            <w:tcW w:w="5103" w:type="dxa"/>
            <w:vAlign w:val="center"/>
          </w:tcPr>
          <w:p w14:paraId="23FD510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val="en-US" w:eastAsia="zh-CN"/>
              </w:rPr>
              <w:t>继电</w:t>
            </w:r>
            <w:r>
              <w:rPr>
                <w:rFonts w:hint="eastAsia" w:cs="仿宋" w:asciiTheme="minorEastAsia" w:hAnsiTheme="minorEastAsia" w:eastAsiaTheme="minorEastAsia"/>
                <w:color w:val="auto"/>
                <w:sz w:val="24"/>
                <w:szCs w:val="24"/>
                <w:highlight w:val="none"/>
              </w:rPr>
              <w:t>保护和安全自动装置技术规程</w:t>
            </w:r>
          </w:p>
        </w:tc>
        <w:tc>
          <w:tcPr>
            <w:tcW w:w="2268" w:type="dxa"/>
            <w:vAlign w:val="center"/>
          </w:tcPr>
          <w:p w14:paraId="3E0C893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GB/T 14285-2023</w:t>
            </w:r>
          </w:p>
        </w:tc>
      </w:tr>
      <w:tr w14:paraId="7A30E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B2DF8C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26</w:t>
            </w:r>
          </w:p>
        </w:tc>
        <w:tc>
          <w:tcPr>
            <w:tcW w:w="5103" w:type="dxa"/>
            <w:vAlign w:val="center"/>
          </w:tcPr>
          <w:p w14:paraId="47EE7648">
            <w:pPr>
              <w:pStyle w:val="30"/>
              <w:spacing w:line="400" w:lineRule="exact"/>
              <w:rPr>
                <w:rFonts w:hint="eastAsia" w:cs="仿宋" w:asciiTheme="minorEastAsia" w:hAnsiTheme="minorEastAsia" w:eastAsiaTheme="minorEastAsia"/>
                <w:color w:val="auto"/>
                <w:sz w:val="24"/>
                <w:szCs w:val="24"/>
                <w:highlight w:val="none"/>
                <w:lang w:val="en-US" w:eastAsia="zh-CN"/>
              </w:rPr>
            </w:pPr>
            <w:r>
              <w:rPr>
                <w:rFonts w:hint="eastAsia" w:cs="仿宋" w:asciiTheme="minorEastAsia" w:hAnsiTheme="minorEastAsia" w:eastAsiaTheme="minorEastAsia"/>
                <w:color w:val="auto"/>
                <w:sz w:val="24"/>
                <w:szCs w:val="24"/>
                <w:highlight w:val="none"/>
              </w:rPr>
              <w:t>火力发电厂热工</w:t>
            </w:r>
            <w:r>
              <w:rPr>
                <w:rFonts w:hint="eastAsia" w:cs="仿宋" w:asciiTheme="minorEastAsia" w:hAnsiTheme="minorEastAsia" w:eastAsiaTheme="minorEastAsia"/>
                <w:color w:val="auto"/>
                <w:sz w:val="24"/>
                <w:szCs w:val="24"/>
                <w:highlight w:val="none"/>
                <w:lang w:val="en-US" w:eastAsia="zh-CN"/>
              </w:rPr>
              <w:t>开关量和模拟量</w:t>
            </w:r>
            <w:r>
              <w:rPr>
                <w:rFonts w:hint="eastAsia" w:cs="仿宋" w:asciiTheme="minorEastAsia" w:hAnsiTheme="minorEastAsia" w:eastAsiaTheme="minorEastAsia"/>
                <w:color w:val="auto"/>
                <w:sz w:val="24"/>
                <w:szCs w:val="24"/>
                <w:highlight w:val="none"/>
              </w:rPr>
              <w:t>控制系统设计</w:t>
            </w:r>
            <w:r>
              <w:rPr>
                <w:rFonts w:hint="eastAsia" w:cs="仿宋" w:asciiTheme="minorEastAsia" w:hAnsiTheme="minorEastAsia" w:eastAsiaTheme="minorEastAsia"/>
                <w:color w:val="auto"/>
                <w:sz w:val="24"/>
                <w:szCs w:val="24"/>
                <w:highlight w:val="none"/>
                <w:lang w:val="en-US" w:eastAsia="zh-CN"/>
              </w:rPr>
              <w:t>规程</w:t>
            </w:r>
          </w:p>
        </w:tc>
        <w:tc>
          <w:tcPr>
            <w:tcW w:w="2268" w:type="dxa"/>
            <w:vAlign w:val="center"/>
          </w:tcPr>
          <w:p w14:paraId="7DBAC31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5175-2021</w:t>
            </w:r>
          </w:p>
        </w:tc>
      </w:tr>
      <w:tr w14:paraId="7EE00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F4BD39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27</w:t>
            </w:r>
          </w:p>
        </w:tc>
        <w:tc>
          <w:tcPr>
            <w:tcW w:w="5103" w:type="dxa"/>
            <w:vAlign w:val="center"/>
          </w:tcPr>
          <w:p w14:paraId="3D3DD1E3">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电力工程电缆设计标准</w:t>
            </w:r>
          </w:p>
        </w:tc>
        <w:tc>
          <w:tcPr>
            <w:tcW w:w="2268" w:type="dxa"/>
            <w:vAlign w:val="center"/>
          </w:tcPr>
          <w:p w14:paraId="0D7282B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50217-2018</w:t>
            </w:r>
          </w:p>
        </w:tc>
      </w:tr>
      <w:tr w14:paraId="7F8E1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B84268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28</w:t>
            </w:r>
          </w:p>
        </w:tc>
        <w:tc>
          <w:tcPr>
            <w:tcW w:w="5103" w:type="dxa"/>
            <w:vAlign w:val="center"/>
          </w:tcPr>
          <w:p w14:paraId="7D2F749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火灾自动报警系统设计规范</w:t>
            </w:r>
          </w:p>
        </w:tc>
        <w:tc>
          <w:tcPr>
            <w:tcW w:w="2268" w:type="dxa"/>
            <w:vAlign w:val="center"/>
          </w:tcPr>
          <w:p w14:paraId="3653AE4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50116-2013</w:t>
            </w:r>
          </w:p>
        </w:tc>
      </w:tr>
      <w:tr w14:paraId="499011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3C1AD32">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29</w:t>
            </w:r>
          </w:p>
        </w:tc>
        <w:tc>
          <w:tcPr>
            <w:tcW w:w="5103" w:type="dxa"/>
            <w:vAlign w:val="center"/>
          </w:tcPr>
          <w:p w14:paraId="6C0F637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火灾自动报警系统施工及验收标准</w:t>
            </w:r>
          </w:p>
        </w:tc>
        <w:tc>
          <w:tcPr>
            <w:tcW w:w="2268" w:type="dxa"/>
            <w:vAlign w:val="center"/>
          </w:tcPr>
          <w:p w14:paraId="612F2F05">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50166-2019</w:t>
            </w:r>
          </w:p>
        </w:tc>
      </w:tr>
      <w:tr w14:paraId="4D427B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484C877">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30</w:t>
            </w:r>
          </w:p>
        </w:tc>
        <w:tc>
          <w:tcPr>
            <w:tcW w:w="5103" w:type="dxa"/>
            <w:vAlign w:val="center"/>
          </w:tcPr>
          <w:p w14:paraId="78C9420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防止电力生产事故的二十五项重点要求（2023年3月）</w:t>
            </w:r>
          </w:p>
        </w:tc>
        <w:tc>
          <w:tcPr>
            <w:tcW w:w="2268" w:type="dxa"/>
            <w:vAlign w:val="center"/>
          </w:tcPr>
          <w:p w14:paraId="0D8E557E">
            <w:pPr>
              <w:pStyle w:val="30"/>
              <w:spacing w:line="400" w:lineRule="exact"/>
              <w:rPr>
                <w:rFonts w:cs="仿宋" w:asciiTheme="minorEastAsia" w:hAnsiTheme="minorEastAsia" w:eastAsiaTheme="minorEastAsia"/>
                <w:color w:val="auto"/>
                <w:sz w:val="24"/>
                <w:szCs w:val="24"/>
                <w:highlight w:val="none"/>
              </w:rPr>
            </w:pPr>
          </w:p>
        </w:tc>
      </w:tr>
      <w:tr w14:paraId="2B910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0B3214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31</w:t>
            </w:r>
          </w:p>
        </w:tc>
        <w:tc>
          <w:tcPr>
            <w:tcW w:w="5103" w:type="dxa"/>
            <w:vAlign w:val="center"/>
          </w:tcPr>
          <w:p w14:paraId="420055E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火力发电厂仪表与控制就地设备安装、管路、电缆设计规程</w:t>
            </w:r>
          </w:p>
        </w:tc>
        <w:tc>
          <w:tcPr>
            <w:tcW w:w="2268" w:type="dxa"/>
            <w:vAlign w:val="center"/>
          </w:tcPr>
          <w:p w14:paraId="34603377">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5182-2021</w:t>
            </w:r>
          </w:p>
        </w:tc>
      </w:tr>
      <w:tr w14:paraId="7EC33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FF9937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32</w:t>
            </w:r>
          </w:p>
        </w:tc>
        <w:tc>
          <w:tcPr>
            <w:tcW w:w="5103" w:type="dxa"/>
            <w:vAlign w:val="center"/>
          </w:tcPr>
          <w:p w14:paraId="1E696F8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发电厂热工仪表及控制系统技术监督导则</w:t>
            </w:r>
          </w:p>
        </w:tc>
        <w:tc>
          <w:tcPr>
            <w:tcW w:w="2268" w:type="dxa"/>
            <w:vAlign w:val="center"/>
          </w:tcPr>
          <w:p w14:paraId="3B38F42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1056-2019</w:t>
            </w:r>
          </w:p>
        </w:tc>
      </w:tr>
      <w:tr w14:paraId="7DB2EB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52376A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33</w:t>
            </w:r>
          </w:p>
        </w:tc>
        <w:tc>
          <w:tcPr>
            <w:tcW w:w="5103" w:type="dxa"/>
            <w:vAlign w:val="center"/>
          </w:tcPr>
          <w:p w14:paraId="793DDEE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火力发电厂辅助车间系统仪表与控制设计规程</w:t>
            </w:r>
          </w:p>
        </w:tc>
        <w:tc>
          <w:tcPr>
            <w:tcW w:w="2268" w:type="dxa"/>
            <w:vAlign w:val="center"/>
          </w:tcPr>
          <w:p w14:paraId="3B9DB72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5227-2020</w:t>
            </w:r>
          </w:p>
        </w:tc>
      </w:tr>
      <w:tr w14:paraId="5D646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FA73DF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34</w:t>
            </w:r>
          </w:p>
        </w:tc>
        <w:tc>
          <w:tcPr>
            <w:tcW w:w="5103" w:type="dxa"/>
            <w:vAlign w:val="center"/>
          </w:tcPr>
          <w:p w14:paraId="76E1CC6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火力发电厂热工电源及气源系统设计技术规程</w:t>
            </w:r>
          </w:p>
        </w:tc>
        <w:tc>
          <w:tcPr>
            <w:tcW w:w="2268" w:type="dxa"/>
            <w:vAlign w:val="center"/>
          </w:tcPr>
          <w:p w14:paraId="0E17A812">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5455-2012</w:t>
            </w:r>
          </w:p>
        </w:tc>
      </w:tr>
      <w:tr w14:paraId="4B1A31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8F03F73">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35</w:t>
            </w:r>
          </w:p>
        </w:tc>
        <w:tc>
          <w:tcPr>
            <w:tcW w:w="5103" w:type="dxa"/>
            <w:vAlign w:val="center"/>
          </w:tcPr>
          <w:p w14:paraId="7D3649E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火力发电厂热工自动化系统检修运行维护规程</w:t>
            </w:r>
          </w:p>
        </w:tc>
        <w:tc>
          <w:tcPr>
            <w:tcW w:w="2268" w:type="dxa"/>
            <w:vAlign w:val="center"/>
          </w:tcPr>
          <w:p w14:paraId="6F60423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774-2015</w:t>
            </w:r>
          </w:p>
        </w:tc>
      </w:tr>
      <w:tr w14:paraId="6B395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D185B15">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36</w:t>
            </w:r>
          </w:p>
        </w:tc>
        <w:tc>
          <w:tcPr>
            <w:tcW w:w="5103" w:type="dxa"/>
            <w:vAlign w:val="center"/>
          </w:tcPr>
          <w:p w14:paraId="644D241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火力发电厂热工自动化系统可靠性评估技术导则</w:t>
            </w:r>
          </w:p>
        </w:tc>
        <w:tc>
          <w:tcPr>
            <w:tcW w:w="2268" w:type="dxa"/>
            <w:vAlign w:val="center"/>
          </w:tcPr>
          <w:p w14:paraId="21EDC73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261-2022</w:t>
            </w:r>
          </w:p>
        </w:tc>
      </w:tr>
      <w:tr w14:paraId="48C91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5FC41C2">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37</w:t>
            </w:r>
          </w:p>
        </w:tc>
        <w:tc>
          <w:tcPr>
            <w:tcW w:w="5103" w:type="dxa"/>
            <w:vAlign w:val="center"/>
          </w:tcPr>
          <w:p w14:paraId="6FFFBEE2">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建筑结构荷载规范</w:t>
            </w:r>
          </w:p>
        </w:tc>
        <w:tc>
          <w:tcPr>
            <w:tcW w:w="2268" w:type="dxa"/>
            <w:vAlign w:val="center"/>
          </w:tcPr>
          <w:p w14:paraId="48A856F9">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50009-2012</w:t>
            </w:r>
          </w:p>
        </w:tc>
      </w:tr>
      <w:tr w14:paraId="06978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5AFC130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38</w:t>
            </w:r>
          </w:p>
        </w:tc>
        <w:tc>
          <w:tcPr>
            <w:tcW w:w="5103" w:type="dxa"/>
            <w:vAlign w:val="center"/>
          </w:tcPr>
          <w:p w14:paraId="0609D291">
            <w:pPr>
              <w:pStyle w:val="30"/>
              <w:spacing w:line="400" w:lineRule="exact"/>
              <w:rPr>
                <w:rFonts w:hint="eastAsia" w:cs="仿宋" w:asciiTheme="minorEastAsia" w:hAnsiTheme="minorEastAsia" w:eastAsiaTheme="minorEastAsia"/>
                <w:color w:val="auto"/>
                <w:sz w:val="24"/>
                <w:szCs w:val="24"/>
                <w:highlight w:val="none"/>
                <w:lang w:val="en-US" w:eastAsia="zh-CN"/>
              </w:rPr>
            </w:pPr>
            <w:r>
              <w:rPr>
                <w:rFonts w:hint="eastAsia" w:cs="仿宋" w:asciiTheme="minorEastAsia" w:hAnsiTheme="minorEastAsia" w:eastAsiaTheme="minorEastAsia"/>
                <w:color w:val="auto"/>
                <w:sz w:val="24"/>
                <w:szCs w:val="24"/>
                <w:highlight w:val="none"/>
              </w:rPr>
              <w:t>钢结构设计</w:t>
            </w:r>
            <w:r>
              <w:rPr>
                <w:rFonts w:hint="eastAsia" w:cs="仿宋" w:asciiTheme="minorEastAsia" w:hAnsiTheme="minorEastAsia" w:eastAsiaTheme="minorEastAsia"/>
                <w:color w:val="auto"/>
                <w:sz w:val="24"/>
                <w:szCs w:val="24"/>
                <w:highlight w:val="none"/>
                <w:lang w:val="en-US" w:eastAsia="zh-CN"/>
              </w:rPr>
              <w:t>标准</w:t>
            </w:r>
          </w:p>
        </w:tc>
        <w:tc>
          <w:tcPr>
            <w:tcW w:w="2268" w:type="dxa"/>
            <w:vAlign w:val="center"/>
          </w:tcPr>
          <w:p w14:paraId="222B93B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50017-2017</w:t>
            </w:r>
          </w:p>
        </w:tc>
      </w:tr>
      <w:tr w14:paraId="4A783A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0A1358FA">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39</w:t>
            </w:r>
          </w:p>
        </w:tc>
        <w:tc>
          <w:tcPr>
            <w:tcW w:w="5103" w:type="dxa"/>
            <w:vAlign w:val="center"/>
          </w:tcPr>
          <w:p w14:paraId="7F80E90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动力机器基础设计规范</w:t>
            </w:r>
          </w:p>
        </w:tc>
        <w:tc>
          <w:tcPr>
            <w:tcW w:w="2268" w:type="dxa"/>
            <w:vAlign w:val="center"/>
          </w:tcPr>
          <w:p w14:paraId="0E3DD4A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50040-2020</w:t>
            </w:r>
          </w:p>
        </w:tc>
      </w:tr>
      <w:tr w14:paraId="66CA6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EE6E3A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40</w:t>
            </w:r>
          </w:p>
        </w:tc>
        <w:tc>
          <w:tcPr>
            <w:tcW w:w="5103" w:type="dxa"/>
            <w:vAlign w:val="center"/>
          </w:tcPr>
          <w:p w14:paraId="1FBCCCAB">
            <w:pPr>
              <w:pStyle w:val="30"/>
              <w:spacing w:line="400" w:lineRule="exact"/>
              <w:rPr>
                <w:rFonts w:hint="eastAsia" w:cs="仿宋" w:asciiTheme="minorEastAsia" w:hAnsiTheme="minorEastAsia" w:eastAsiaTheme="minorEastAsia"/>
                <w:color w:val="auto"/>
                <w:sz w:val="24"/>
                <w:szCs w:val="24"/>
                <w:highlight w:val="none"/>
                <w:lang w:val="en-US" w:eastAsia="zh-CN"/>
              </w:rPr>
            </w:pPr>
            <w:r>
              <w:rPr>
                <w:rFonts w:hint="eastAsia" w:cs="仿宋" w:asciiTheme="minorEastAsia" w:hAnsiTheme="minorEastAsia" w:eastAsiaTheme="minorEastAsia"/>
                <w:color w:val="auto"/>
                <w:sz w:val="24"/>
                <w:szCs w:val="24"/>
                <w:highlight w:val="none"/>
              </w:rPr>
              <w:t>工业建筑防腐蚀设计</w:t>
            </w:r>
            <w:r>
              <w:rPr>
                <w:rFonts w:hint="eastAsia" w:cs="仿宋" w:asciiTheme="minorEastAsia" w:hAnsiTheme="minorEastAsia" w:eastAsiaTheme="minorEastAsia"/>
                <w:color w:val="auto"/>
                <w:sz w:val="24"/>
                <w:szCs w:val="24"/>
                <w:highlight w:val="none"/>
                <w:lang w:val="en-US" w:eastAsia="zh-CN"/>
              </w:rPr>
              <w:t>标准</w:t>
            </w:r>
          </w:p>
        </w:tc>
        <w:tc>
          <w:tcPr>
            <w:tcW w:w="2268" w:type="dxa"/>
            <w:vAlign w:val="center"/>
          </w:tcPr>
          <w:p w14:paraId="2820347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GB/T 50046-2018</w:t>
            </w:r>
          </w:p>
        </w:tc>
      </w:tr>
      <w:tr w14:paraId="53D90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7FFBE41C">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41</w:t>
            </w:r>
          </w:p>
        </w:tc>
        <w:tc>
          <w:tcPr>
            <w:tcW w:w="5103" w:type="dxa"/>
            <w:vAlign w:val="center"/>
          </w:tcPr>
          <w:p w14:paraId="73976B0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热轧H型钢和部分T型钢</w:t>
            </w:r>
          </w:p>
        </w:tc>
        <w:tc>
          <w:tcPr>
            <w:tcW w:w="2268" w:type="dxa"/>
            <w:vAlign w:val="center"/>
          </w:tcPr>
          <w:p w14:paraId="4F84FE8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GB/T 11263-2024</w:t>
            </w:r>
          </w:p>
        </w:tc>
      </w:tr>
      <w:tr w14:paraId="13728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52EA30E">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42</w:t>
            </w:r>
          </w:p>
        </w:tc>
        <w:tc>
          <w:tcPr>
            <w:tcW w:w="5103" w:type="dxa"/>
            <w:vAlign w:val="center"/>
          </w:tcPr>
          <w:p w14:paraId="2843F864">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《发电厂土建结构设计技术规程》</w:t>
            </w:r>
          </w:p>
        </w:tc>
        <w:tc>
          <w:tcPr>
            <w:tcW w:w="2268" w:type="dxa"/>
            <w:vAlign w:val="center"/>
          </w:tcPr>
          <w:p w14:paraId="753DCACF">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 5022-2012</w:t>
            </w:r>
          </w:p>
        </w:tc>
      </w:tr>
      <w:tr w14:paraId="338C0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29D0D3C6">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43</w:t>
            </w:r>
          </w:p>
        </w:tc>
        <w:tc>
          <w:tcPr>
            <w:tcW w:w="5103" w:type="dxa"/>
            <w:vAlign w:val="center"/>
          </w:tcPr>
          <w:p w14:paraId="773BEBE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《火力发电厂建筑设计规程》</w:t>
            </w:r>
          </w:p>
        </w:tc>
        <w:tc>
          <w:tcPr>
            <w:tcW w:w="2268" w:type="dxa"/>
            <w:vAlign w:val="center"/>
          </w:tcPr>
          <w:p w14:paraId="0A251CA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DL/T 5094-2024</w:t>
            </w:r>
          </w:p>
        </w:tc>
      </w:tr>
      <w:tr w14:paraId="6AD46E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D8249F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44</w:t>
            </w:r>
          </w:p>
        </w:tc>
        <w:tc>
          <w:tcPr>
            <w:tcW w:w="5103" w:type="dxa"/>
            <w:vAlign w:val="center"/>
          </w:tcPr>
          <w:p w14:paraId="06E97486">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《工业建筑供暖通风与空气调节设计规范》</w:t>
            </w:r>
          </w:p>
        </w:tc>
        <w:tc>
          <w:tcPr>
            <w:tcW w:w="2268" w:type="dxa"/>
            <w:vAlign w:val="center"/>
          </w:tcPr>
          <w:p w14:paraId="58A7BA1A">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 50019-2015</w:t>
            </w:r>
          </w:p>
        </w:tc>
      </w:tr>
      <w:tr w14:paraId="45B78A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0D7FB604">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45</w:t>
            </w:r>
          </w:p>
        </w:tc>
        <w:tc>
          <w:tcPr>
            <w:tcW w:w="5103" w:type="dxa"/>
            <w:vAlign w:val="center"/>
          </w:tcPr>
          <w:p w14:paraId="532D6E4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《发电厂采暖通风与空气调节设计技术规范》</w:t>
            </w:r>
          </w:p>
        </w:tc>
        <w:tc>
          <w:tcPr>
            <w:tcW w:w="2268" w:type="dxa"/>
            <w:vAlign w:val="center"/>
          </w:tcPr>
          <w:p w14:paraId="7D0FFE48">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 5035-2016</w:t>
            </w:r>
          </w:p>
        </w:tc>
      </w:tr>
      <w:tr w14:paraId="51C95C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42C8712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46</w:t>
            </w:r>
          </w:p>
        </w:tc>
        <w:tc>
          <w:tcPr>
            <w:tcW w:w="5103" w:type="dxa"/>
            <w:vAlign w:val="center"/>
          </w:tcPr>
          <w:p w14:paraId="3796D54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《火力发电厂职业安全设计规程》</w:t>
            </w:r>
          </w:p>
        </w:tc>
        <w:tc>
          <w:tcPr>
            <w:tcW w:w="2268" w:type="dxa"/>
            <w:vAlign w:val="center"/>
          </w:tcPr>
          <w:p w14:paraId="230CE6ED">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 5053-2012</w:t>
            </w:r>
          </w:p>
        </w:tc>
      </w:tr>
      <w:tr w14:paraId="5F4BE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F57B131">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47</w:t>
            </w:r>
          </w:p>
        </w:tc>
        <w:tc>
          <w:tcPr>
            <w:tcW w:w="5103" w:type="dxa"/>
            <w:vAlign w:val="center"/>
          </w:tcPr>
          <w:p w14:paraId="1F93474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《电力工程制图标准》</w:t>
            </w:r>
          </w:p>
        </w:tc>
        <w:tc>
          <w:tcPr>
            <w:tcW w:w="2268" w:type="dxa"/>
            <w:vAlign w:val="center"/>
          </w:tcPr>
          <w:p w14:paraId="6335534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DL/T5028-2015</w:t>
            </w:r>
          </w:p>
        </w:tc>
      </w:tr>
      <w:tr w14:paraId="7A713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3E588BEE">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48</w:t>
            </w:r>
          </w:p>
        </w:tc>
        <w:tc>
          <w:tcPr>
            <w:tcW w:w="5103" w:type="dxa"/>
            <w:vAlign w:val="center"/>
          </w:tcPr>
          <w:p w14:paraId="3A076A0C">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《工业企业噪声控制设计规范》</w:t>
            </w:r>
          </w:p>
        </w:tc>
        <w:tc>
          <w:tcPr>
            <w:tcW w:w="2268" w:type="dxa"/>
            <w:vAlign w:val="center"/>
          </w:tcPr>
          <w:p w14:paraId="1654B95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GB/T 50087-2013</w:t>
            </w:r>
          </w:p>
        </w:tc>
      </w:tr>
      <w:tr w14:paraId="515FD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12B1ACC8">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49</w:t>
            </w:r>
          </w:p>
        </w:tc>
        <w:tc>
          <w:tcPr>
            <w:tcW w:w="5103" w:type="dxa"/>
            <w:vAlign w:val="center"/>
          </w:tcPr>
          <w:p w14:paraId="70913281">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火力发电厂检修用脚手架安全技术规范</w:t>
            </w:r>
          </w:p>
        </w:tc>
        <w:tc>
          <w:tcPr>
            <w:tcW w:w="2268" w:type="dxa"/>
            <w:vAlign w:val="center"/>
          </w:tcPr>
          <w:p w14:paraId="65A2DAC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DB52/T 994-2015</w:t>
            </w:r>
          </w:p>
        </w:tc>
      </w:tr>
      <w:tr w14:paraId="1EA06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709" w:type="dxa"/>
            <w:vAlign w:val="center"/>
          </w:tcPr>
          <w:p w14:paraId="6B8D733B">
            <w:pPr>
              <w:pStyle w:val="30"/>
              <w:spacing w:line="400" w:lineRule="exact"/>
              <w:jc w:val="center"/>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50</w:t>
            </w:r>
          </w:p>
        </w:tc>
        <w:tc>
          <w:tcPr>
            <w:tcW w:w="5103" w:type="dxa"/>
            <w:vAlign w:val="center"/>
          </w:tcPr>
          <w:p w14:paraId="1EB9CF0B">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val="en-US" w:eastAsia="zh-CN"/>
              </w:rPr>
              <w:t>扣件式和碗扣式</w:t>
            </w:r>
            <w:r>
              <w:rPr>
                <w:rFonts w:hint="eastAsia" w:cs="仿宋" w:asciiTheme="minorEastAsia" w:hAnsiTheme="minorEastAsia" w:eastAsiaTheme="minorEastAsia"/>
                <w:color w:val="auto"/>
                <w:sz w:val="24"/>
                <w:szCs w:val="24"/>
                <w:highlight w:val="none"/>
              </w:rPr>
              <w:t>钢管脚手架安全选用技术规程</w:t>
            </w:r>
          </w:p>
        </w:tc>
        <w:tc>
          <w:tcPr>
            <w:tcW w:w="2268" w:type="dxa"/>
            <w:vAlign w:val="center"/>
          </w:tcPr>
          <w:p w14:paraId="6A17E89E">
            <w:pPr>
              <w:pStyle w:val="30"/>
              <w:spacing w:line="400" w:lineRule="exact"/>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lang w:eastAsia="zh-CN"/>
              </w:rPr>
              <w:t>DB11/T583-2022</w:t>
            </w:r>
          </w:p>
        </w:tc>
      </w:tr>
    </w:tbl>
    <w:p w14:paraId="6B1D2858">
      <w:pPr>
        <w:widowControl w:val="0"/>
        <w:spacing w:line="360" w:lineRule="auto"/>
        <w:jc w:val="both"/>
        <w:rPr>
          <w:rFonts w:cs="仿宋" w:asciiTheme="minorEastAsia" w:hAnsiTheme="minorEastAsia" w:eastAsiaTheme="minorEastAsia"/>
          <w:color w:val="auto"/>
          <w:kern w:val="2"/>
          <w:sz w:val="24"/>
          <w:szCs w:val="24"/>
          <w:highlight w:val="none"/>
        </w:rPr>
      </w:pPr>
    </w:p>
    <w:p w14:paraId="4315093A">
      <w:pPr>
        <w:widowControl w:val="0"/>
        <w:spacing w:line="360" w:lineRule="auto"/>
        <w:ind w:firstLine="480" w:firstLineChars="200"/>
        <w:jc w:val="both"/>
        <w:rPr>
          <w:rFonts w:cs="仿宋" w:asciiTheme="minorEastAsia" w:hAnsiTheme="minorEastAsia" w:eastAsiaTheme="minorEastAsia"/>
          <w:color w:val="auto"/>
          <w:kern w:val="2"/>
          <w:sz w:val="24"/>
          <w:szCs w:val="24"/>
          <w:highlight w:val="none"/>
          <w:lang w:val="zh-CN"/>
        </w:rPr>
      </w:pPr>
      <w:r>
        <w:rPr>
          <w:rFonts w:hint="eastAsia" w:cs="仿宋" w:asciiTheme="minorEastAsia" w:hAnsiTheme="minorEastAsia" w:eastAsiaTheme="minorEastAsia"/>
          <w:color w:val="auto"/>
          <w:kern w:val="2"/>
          <w:sz w:val="24"/>
          <w:szCs w:val="24"/>
          <w:highlight w:val="none"/>
        </w:rPr>
        <w:t>实施中所用标准和技术规范均应以合同签订之日为止时的最新版本为准（当相关标准发生抵触时，以最新标准或设计文件为准）。</w:t>
      </w:r>
      <w:r>
        <w:rPr>
          <w:rFonts w:hint="eastAsia" w:cs="仿宋" w:asciiTheme="minorEastAsia" w:hAnsiTheme="minorEastAsia" w:eastAsiaTheme="minorEastAsia"/>
          <w:color w:val="auto"/>
          <w:kern w:val="2"/>
          <w:sz w:val="24"/>
          <w:szCs w:val="24"/>
          <w:highlight w:val="none"/>
          <w:lang w:val="zh-CN"/>
        </w:rPr>
        <w:t>当上述标准不一致时按高标准执行。投标人有责任对本规范书中未提及的技术条款提出补充。如果投标人未以书面形式对本规范书中的条款提出异议，那么招标人可以认为投标人提供的产品完全符合本规范书的技术要求，并以此为依据进行验收。如果投标人在系统设计和产品制造及系统性能验收等方面采用的一些标准和规范不在本节所列的标准和规范范围内，或投标人采用其他标准或规格，则投标人应详细说明其采用的标准或规格，并向招标人提供其采用标准或规格的中文版本。只有当其采用的标准或规格是国际公认的、惯用的和国家强制性标准，且不低于本技术规范的要求时，投标人采用的标准或规格才能为招标人认可。</w:t>
      </w:r>
    </w:p>
    <w:p w14:paraId="6F38E7D8">
      <w:pPr>
        <w:widowControl w:val="0"/>
        <w:spacing w:line="360" w:lineRule="auto"/>
        <w:jc w:val="both"/>
        <w:rPr>
          <w:rFonts w:cs="仿宋" w:asciiTheme="minorEastAsia" w:hAnsiTheme="minorEastAsia" w:eastAsiaTheme="minorEastAsia"/>
          <w:color w:val="auto"/>
          <w:kern w:val="2"/>
          <w:sz w:val="24"/>
          <w:szCs w:val="24"/>
          <w:highlight w:val="none"/>
          <w:lang w:val="zh-CN"/>
        </w:rPr>
      </w:pPr>
      <w:r>
        <w:rPr>
          <w:rFonts w:hint="eastAsia" w:cs="仿宋" w:asciiTheme="minorEastAsia" w:hAnsiTheme="minorEastAsia" w:eastAsiaTheme="minorEastAsia"/>
          <w:color w:val="auto"/>
          <w:kern w:val="2"/>
          <w:sz w:val="24"/>
          <w:szCs w:val="24"/>
          <w:highlight w:val="none"/>
          <w:lang w:val="zh-CN"/>
        </w:rPr>
        <w:t>3.4 从合同签订之日至投标人开始施工/制造之日的这段时期内，不论招标人知道与否，投标人有责任及时书面通知招标人有关规程、规范和标准发生的变化，招标人有权提出因规程、规范和标准发生变化而产生的补充要求，投标人应遵守这些要求，且价格不变。</w:t>
      </w:r>
    </w:p>
    <w:p w14:paraId="5654A61F">
      <w:pPr>
        <w:widowControl w:val="0"/>
        <w:spacing w:line="360" w:lineRule="auto"/>
        <w:jc w:val="both"/>
        <w:rPr>
          <w:rFonts w:cs="仿宋" w:asciiTheme="minorEastAsia" w:hAnsiTheme="minorEastAsia" w:eastAsiaTheme="minorEastAsia"/>
          <w:color w:val="auto"/>
          <w:kern w:val="2"/>
          <w:sz w:val="24"/>
          <w:szCs w:val="24"/>
          <w:highlight w:val="none"/>
          <w:lang w:val="zh-CN"/>
        </w:rPr>
      </w:pPr>
      <w:r>
        <w:rPr>
          <w:rFonts w:hint="eastAsia" w:cs="仿宋" w:asciiTheme="minorEastAsia" w:hAnsiTheme="minorEastAsia" w:eastAsiaTheme="minorEastAsia"/>
          <w:color w:val="auto"/>
          <w:kern w:val="2"/>
          <w:sz w:val="24"/>
          <w:szCs w:val="24"/>
          <w:highlight w:val="none"/>
          <w:lang w:val="zh-CN"/>
        </w:rPr>
        <w:t>3.5 合同签订后1个月内，投标人应将本标准和规范之外的，适用于本项目的土建或建筑、设计﹑制造﹑检验/试验﹑装配﹑安装﹑调试﹑试运﹑验收﹑试验﹑运行和维护等其他的标准清单给招标人，供招标人确认。</w:t>
      </w:r>
    </w:p>
    <w:p w14:paraId="593D16FB">
      <w:pPr>
        <w:widowControl w:val="0"/>
        <w:spacing w:line="360" w:lineRule="auto"/>
        <w:jc w:val="both"/>
        <w:rPr>
          <w:rFonts w:asciiTheme="minorEastAsia" w:hAnsiTheme="minorEastAsia" w:eastAsiaTheme="minorEastAsia"/>
          <w:b/>
          <w:color w:val="auto"/>
          <w:sz w:val="24"/>
          <w:szCs w:val="24"/>
          <w:highlight w:val="none"/>
        </w:rPr>
      </w:pPr>
    </w:p>
    <w:p w14:paraId="3D19B979">
      <w:pPr>
        <w:spacing w:after="0"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4、技术规范</w:t>
      </w:r>
    </w:p>
    <w:p w14:paraId="537EA7C8">
      <w:pPr>
        <w:spacing w:after="0" w:line="360" w:lineRule="auto"/>
        <w:rPr>
          <w:rFonts w:asciiTheme="minorEastAsia" w:hAnsiTheme="minorEastAsia" w:eastAsiaTheme="minorEastAsia"/>
          <w:color w:val="auto"/>
          <w:sz w:val="24"/>
          <w:szCs w:val="24"/>
          <w:highlight w:val="none"/>
        </w:rPr>
      </w:pPr>
      <w:bookmarkStart w:id="63" w:name="OLE_LINK40"/>
      <w:bookmarkStart w:id="64" w:name="OLE_LINK39"/>
      <w:r>
        <w:rPr>
          <w:rFonts w:asciiTheme="minorEastAsia" w:hAnsiTheme="minorEastAsia" w:eastAsiaTheme="minorEastAsia"/>
          <w:color w:val="auto"/>
          <w:sz w:val="24"/>
          <w:szCs w:val="24"/>
          <w:highlight w:val="none"/>
        </w:rPr>
        <w:t>4.1</w:t>
      </w:r>
      <w:bookmarkStart w:id="65" w:name="OLE_LINK49"/>
      <w:bookmarkStart w:id="66" w:name="OLE_LINK50"/>
      <w:r>
        <w:rPr>
          <w:rFonts w:hint="eastAsia" w:asciiTheme="minorEastAsia" w:hAnsiTheme="minorEastAsia" w:eastAsiaTheme="minorEastAsia"/>
          <w:color w:val="auto"/>
          <w:sz w:val="24"/>
          <w:szCs w:val="24"/>
          <w:highlight w:val="none"/>
        </w:rPr>
        <w:t>锅炉</w:t>
      </w:r>
      <w:bookmarkStart w:id="67" w:name="OLE_LINK38"/>
      <w:bookmarkStart w:id="68" w:name="OLE_LINK35"/>
      <w:bookmarkStart w:id="69" w:name="OLE_LINK30"/>
      <w:bookmarkStart w:id="70" w:name="OLE_LINK29"/>
      <w:r>
        <w:rPr>
          <w:rFonts w:hint="eastAsia" w:asciiTheme="minorEastAsia" w:hAnsiTheme="minorEastAsia" w:eastAsiaTheme="minorEastAsia"/>
          <w:color w:val="auto"/>
          <w:sz w:val="24"/>
          <w:szCs w:val="24"/>
          <w:highlight w:val="none"/>
        </w:rPr>
        <w:t>壁温系统升级</w:t>
      </w:r>
      <w:bookmarkEnd w:id="67"/>
      <w:bookmarkEnd w:id="68"/>
      <w:r>
        <w:rPr>
          <w:rFonts w:hint="eastAsia" w:asciiTheme="minorEastAsia" w:hAnsiTheme="minorEastAsia" w:eastAsiaTheme="minorEastAsia"/>
          <w:color w:val="auto"/>
          <w:sz w:val="24"/>
          <w:szCs w:val="24"/>
          <w:highlight w:val="none"/>
        </w:rPr>
        <w:t>改造</w:t>
      </w:r>
      <w:bookmarkEnd w:id="65"/>
      <w:bookmarkEnd w:id="66"/>
      <w:bookmarkEnd w:id="69"/>
      <w:bookmarkEnd w:id="70"/>
      <w:r>
        <w:rPr>
          <w:rFonts w:hint="eastAsia" w:asciiTheme="minorEastAsia" w:hAnsiTheme="minorEastAsia" w:eastAsiaTheme="minorEastAsia"/>
          <w:color w:val="auto"/>
          <w:sz w:val="24"/>
          <w:szCs w:val="24"/>
          <w:highlight w:val="none"/>
        </w:rPr>
        <w:t>总体要求</w:t>
      </w:r>
    </w:p>
    <w:bookmarkEnd w:id="63"/>
    <w:bookmarkEnd w:id="64"/>
    <w:p w14:paraId="3A57204E">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本次#2锅炉</w:t>
      </w:r>
      <w:r>
        <w:rPr>
          <w:rFonts w:hint="eastAsia" w:asciiTheme="minorEastAsia" w:hAnsiTheme="minorEastAsia" w:eastAsiaTheme="minorEastAsia"/>
          <w:color w:val="auto"/>
          <w:sz w:val="24"/>
          <w:szCs w:val="24"/>
          <w:highlight w:val="none"/>
        </w:rPr>
        <w:t>壁温系统升级改造共计</w:t>
      </w:r>
      <w:r>
        <w:rPr>
          <w:rFonts w:hint="eastAsia" w:asciiTheme="minorEastAsia" w:hAnsiTheme="minorEastAsia" w:eastAsiaTheme="minorEastAsia"/>
          <w:color w:val="auto"/>
          <w:sz w:val="24"/>
          <w:highlight w:val="none"/>
        </w:rPr>
        <w:t>增加1000支壁温测量元件，并将温度测量信号送至壁温智能采集前端系统（通过采集前端接入DCS）。改造所涉及的全部设备、材料、智能前端、DCS硬件、DCS逻辑组态及其它原有系统的变动和恢复等均属于投标方的工作范围。</w:t>
      </w:r>
    </w:p>
    <w:p w14:paraId="4787C7C9">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投标人负责</w:t>
      </w:r>
      <w:bookmarkStart w:id="71" w:name="OLE_LINK54"/>
      <w:bookmarkStart w:id="72" w:name="OLE_LINK53"/>
      <w:r>
        <w:rPr>
          <w:rFonts w:hint="eastAsia" w:asciiTheme="minorEastAsia" w:hAnsiTheme="minorEastAsia" w:eastAsiaTheme="minorEastAsia"/>
          <w:color w:val="auto"/>
          <w:sz w:val="24"/>
          <w:szCs w:val="24"/>
          <w:highlight w:val="none"/>
        </w:rPr>
        <w:t>锅炉壁温系统升级改造</w:t>
      </w:r>
      <w:bookmarkEnd w:id="71"/>
      <w:bookmarkEnd w:id="72"/>
      <w:r>
        <w:rPr>
          <w:rFonts w:hint="eastAsia" w:asciiTheme="minorEastAsia" w:hAnsiTheme="minorEastAsia" w:eastAsiaTheme="minorEastAsia"/>
          <w:color w:val="auto"/>
          <w:sz w:val="24"/>
          <w:highlight w:val="none"/>
        </w:rPr>
        <w:t>项目热控部分的全部设计，保证原有设备、系统、联锁、保护、计量、远动（传）等的准确、完整和安全生产，包括新增设备与原设备的接口。</w:t>
      </w:r>
    </w:p>
    <w:p w14:paraId="0FC73A5D">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投标人应提供</w:t>
      </w:r>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项目范围内的所有热工检测控制仪表、设备及材料，满足工艺系统的检测和控制要求。所有控制仪表及设备应具有高的可用性、稳定性、可操作性和易维护性，应满足要求的功能。</w:t>
      </w:r>
    </w:p>
    <w:p w14:paraId="6DBE89D7">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投标人负责</w:t>
      </w:r>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项目的仪表及控制设备的设计和供货（含DCS需增加部分：DCS侧的通讯卡件及DCS系统画面组态等），对系统的完整性负责。投标人负责提供详细的说明书、保护定值及</w:t>
      </w:r>
      <w:r>
        <w:rPr>
          <w:rFonts w:hint="eastAsia" w:asciiTheme="minorEastAsia" w:hAnsiTheme="minorEastAsia" w:eastAsiaTheme="minorEastAsia"/>
          <w:color w:val="auto"/>
          <w:sz w:val="24"/>
          <w:szCs w:val="24"/>
          <w:highlight w:val="none"/>
        </w:rPr>
        <w:t>壁温系统升级改造布置图</w:t>
      </w:r>
      <w:r>
        <w:rPr>
          <w:rFonts w:hint="eastAsia" w:asciiTheme="minorEastAsia" w:hAnsiTheme="minorEastAsia" w:eastAsiaTheme="minorEastAsia"/>
          <w:color w:val="auto"/>
          <w:sz w:val="24"/>
          <w:highlight w:val="none"/>
        </w:rPr>
        <w:t>等资料，负责完成DCS系统画面、逻辑组态及调试工作，并负责新增设备及和此次改造相关设备的自动化投入率达到100%,并对最终系统的性能负责。</w:t>
      </w:r>
    </w:p>
    <w:p w14:paraId="47D7B3D5">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投标人提供</w:t>
      </w:r>
      <w:bookmarkStart w:id="73" w:name="OLE_LINK55"/>
      <w:bookmarkStart w:id="74" w:name="OLE_LINK1"/>
      <w:bookmarkStart w:id="75" w:name="OLE_LINK56"/>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w:t>
      </w:r>
      <w:bookmarkEnd w:id="73"/>
      <w:bookmarkEnd w:id="74"/>
      <w:bookmarkEnd w:id="75"/>
      <w:r>
        <w:rPr>
          <w:rFonts w:hint="eastAsia" w:asciiTheme="minorEastAsia" w:hAnsiTheme="minorEastAsia" w:eastAsiaTheme="minorEastAsia"/>
          <w:color w:val="auto"/>
          <w:sz w:val="24"/>
          <w:highlight w:val="none"/>
        </w:rPr>
        <w:t>热控部分的设备、材料、工具，安装</w:t>
      </w:r>
      <w:r>
        <w:rPr>
          <w:rFonts w:hint="eastAsia" w:asciiTheme="minorEastAsia" w:hAnsiTheme="minorEastAsia" w:eastAsiaTheme="minorEastAsia"/>
          <w:color w:val="auto"/>
          <w:sz w:val="24"/>
          <w:highlight w:val="none"/>
          <w:lang w:val="en-US" w:eastAsia="zh-CN"/>
        </w:rPr>
        <w:t>前</w:t>
      </w:r>
      <w:r>
        <w:rPr>
          <w:rFonts w:hint="eastAsia" w:asciiTheme="minorEastAsia" w:hAnsiTheme="minorEastAsia" w:eastAsiaTheme="minorEastAsia"/>
          <w:color w:val="auto"/>
          <w:sz w:val="24"/>
          <w:highlight w:val="none"/>
        </w:rPr>
        <w:t>设备</w:t>
      </w:r>
      <w:r>
        <w:rPr>
          <w:rFonts w:hint="eastAsia" w:asciiTheme="minorEastAsia" w:hAnsiTheme="minorEastAsia" w:eastAsiaTheme="minorEastAsia"/>
          <w:color w:val="auto"/>
          <w:sz w:val="24"/>
          <w:highlight w:val="none"/>
          <w:lang w:val="en-US" w:eastAsia="zh-CN"/>
        </w:rPr>
        <w:t>光谱复查、仪表</w:t>
      </w:r>
      <w:r>
        <w:rPr>
          <w:rFonts w:hint="eastAsia" w:asciiTheme="minorEastAsia" w:hAnsiTheme="minorEastAsia" w:eastAsiaTheme="minorEastAsia"/>
          <w:color w:val="auto"/>
          <w:sz w:val="24"/>
          <w:highlight w:val="none"/>
        </w:rPr>
        <w:t>装置校验</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安装后渗透检测</w:t>
      </w:r>
      <w:r>
        <w:rPr>
          <w:rFonts w:hint="eastAsia" w:asciiTheme="minorEastAsia" w:hAnsiTheme="minorEastAsia" w:eastAsiaTheme="minorEastAsia"/>
          <w:color w:val="auto"/>
          <w:sz w:val="24"/>
          <w:highlight w:val="none"/>
        </w:rPr>
        <w:t>、传动、联锁试验等热控试验。</w:t>
      </w:r>
    </w:p>
    <w:p w14:paraId="4774D99C">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投标人负责将2号机组</w:t>
      </w:r>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项目新增数据接入厂级SIS系统，包括电厂SIS系统的画面修改、组态、调试等工作。</w:t>
      </w:r>
    </w:p>
    <w:p w14:paraId="2D009B3F">
      <w:pPr>
        <w:tabs>
          <w:tab w:val="left" w:pos="1440"/>
        </w:tabs>
        <w:spacing w:line="360" w:lineRule="auto"/>
        <w:ind w:firstLine="480" w:firstLineChars="200"/>
        <w:rPr>
          <w:rFonts w:asciiTheme="minorEastAsia" w:hAnsiTheme="minorEastAsia" w:eastAsiaTheme="minorEastAsia"/>
          <w:color w:val="auto"/>
          <w:sz w:val="24"/>
          <w:highlight w:val="none"/>
        </w:rPr>
      </w:pPr>
      <w:bookmarkStart w:id="76" w:name="OLE_LINK57"/>
      <w:bookmarkStart w:id="77" w:name="OLE_LINK58"/>
      <w:r>
        <w:rPr>
          <w:rFonts w:hint="eastAsia" w:asciiTheme="minorEastAsia" w:hAnsiTheme="minorEastAsia" w:eastAsiaTheme="minorEastAsia"/>
          <w:color w:val="auto"/>
          <w:sz w:val="24"/>
          <w:highlight w:val="none"/>
        </w:rPr>
        <w:t>本次#2锅炉</w:t>
      </w:r>
      <w:r>
        <w:rPr>
          <w:rFonts w:hint="eastAsia" w:asciiTheme="minorEastAsia" w:hAnsiTheme="minorEastAsia" w:eastAsiaTheme="minorEastAsia"/>
          <w:color w:val="auto"/>
          <w:sz w:val="24"/>
          <w:szCs w:val="24"/>
          <w:highlight w:val="none"/>
        </w:rPr>
        <w:t>壁温系统升级改造共计</w:t>
      </w:r>
      <w:r>
        <w:rPr>
          <w:rFonts w:hint="eastAsia" w:asciiTheme="minorEastAsia" w:hAnsiTheme="minorEastAsia" w:eastAsiaTheme="minorEastAsia"/>
          <w:color w:val="auto"/>
          <w:sz w:val="24"/>
          <w:highlight w:val="none"/>
        </w:rPr>
        <w:t>增加1000支壁温测量元件，并将温度测量信号送至壁温智能采集前端系统（通过采集前端接入DCS）。改造所涉及的全部设备、材料、智能前端、DCS硬件、DCS逻辑组态及其它原有系统的变动和恢复等均属于投标方的工作范围。</w:t>
      </w:r>
      <w:bookmarkEnd w:id="76"/>
      <w:bookmarkEnd w:id="77"/>
    </w:p>
    <w:p w14:paraId="082F46E0">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温度元件接线不设置中间接线盒，温度原件长度应满足直接接入智能前端；智能前端由投标方设计和供货。投标方可根据此提出测点布置方案，供招标方参考。</w:t>
      </w:r>
    </w:p>
    <w:p w14:paraId="1390E289">
      <w:pPr>
        <w:tabs>
          <w:tab w:val="left" w:pos="1440"/>
        </w:tabs>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壁温测点须考虑腐蚀问题，铠装材料采用316L</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；测温元件及其布置（包括表面热电偶的基座及附件）及智能前端均由投标方设计、供货、安装并最终由招标方确定。</w:t>
      </w:r>
    </w:p>
    <w:p w14:paraId="293C0464">
      <w:pPr>
        <w:spacing w:after="0"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4"/>
          <w:highlight w:val="none"/>
          <w:lang w:val="en-US" w:eastAsia="zh-CN"/>
        </w:rPr>
        <w:t>温度元件</w:t>
      </w:r>
      <w:r>
        <w:rPr>
          <w:rFonts w:hint="eastAsia" w:asciiTheme="minorEastAsia" w:hAnsiTheme="minorEastAsia" w:eastAsiaTheme="minorEastAsia"/>
          <w:color w:val="auto"/>
          <w:sz w:val="24"/>
          <w:szCs w:val="24"/>
          <w:highlight w:val="none"/>
        </w:rPr>
        <w:t>采用国产具有同类型工程成熟应用业绩的产品，投标方提供至少三家产品（包括</w:t>
      </w:r>
      <w:r>
        <w:rPr>
          <w:rFonts w:hint="eastAsia" w:asciiTheme="minorEastAsia" w:hAnsiTheme="minorEastAsia" w:eastAsiaTheme="minorEastAsia"/>
          <w:color w:val="auto"/>
          <w:sz w:val="24"/>
          <w:szCs w:val="24"/>
          <w:highlight w:val="none"/>
          <w:lang w:val="en-US" w:eastAsia="zh-CN"/>
        </w:rPr>
        <w:t>上海自仪、重庆川仪、安徽天康</w:t>
      </w:r>
      <w:r>
        <w:rPr>
          <w:rFonts w:hint="eastAsia" w:asciiTheme="minorEastAsia" w:hAnsiTheme="minorEastAsia" w:eastAsiaTheme="minorEastAsia"/>
          <w:color w:val="auto"/>
          <w:sz w:val="24"/>
          <w:szCs w:val="24"/>
          <w:highlight w:val="none"/>
        </w:rPr>
        <w:t>），最高价计入总价，最终由招标方确定。</w:t>
      </w:r>
    </w:p>
    <w:p w14:paraId="50D8B68F">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4.2</w:t>
      </w:r>
      <w:r>
        <w:rPr>
          <w:rFonts w:hint="eastAsia" w:asciiTheme="minorEastAsia" w:hAnsiTheme="minorEastAsia" w:eastAsiaTheme="minorEastAsia"/>
          <w:color w:val="auto"/>
          <w:sz w:val="24"/>
          <w:szCs w:val="24"/>
          <w:highlight w:val="none"/>
        </w:rPr>
        <w:t>锅炉壁温系统升级改造技术方案</w:t>
      </w:r>
    </w:p>
    <w:p w14:paraId="23D61745">
      <w:pPr>
        <w:tabs>
          <w:tab w:val="left" w:pos="1440"/>
        </w:tabs>
        <w:spacing w:line="360" w:lineRule="auto"/>
        <w:ind w:firstLine="360" w:firstLineChars="1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#2机组原设计壁温测点只是代表不同管屏及同屏不同管之间的温度偏差，</w:t>
      </w:r>
      <w:bookmarkStart w:id="78" w:name="OLE_LINK9"/>
      <w:bookmarkStart w:id="79" w:name="OLE_LINK10"/>
      <w:r>
        <w:rPr>
          <w:rFonts w:hint="eastAsia" w:asciiTheme="minorEastAsia" w:hAnsiTheme="minorEastAsia" w:eastAsiaTheme="minorEastAsia"/>
          <w:color w:val="auto"/>
          <w:sz w:val="24"/>
          <w:highlight w:val="none"/>
        </w:rPr>
        <w:t>在低负荷或变负荷条件下，并不能精准反应各受热面的温度状态，存在超温隐患的集中在水冷壁、屏过、末过、末再等受热面</w:t>
      </w:r>
      <w:bookmarkEnd w:id="78"/>
      <w:bookmarkEnd w:id="79"/>
      <w:r>
        <w:rPr>
          <w:rFonts w:hint="eastAsia" w:asciiTheme="minorEastAsia" w:hAnsiTheme="minorEastAsia" w:eastAsiaTheme="minorEastAsia"/>
          <w:color w:val="auto"/>
          <w:sz w:val="24"/>
          <w:highlight w:val="none"/>
        </w:rPr>
        <w:t>。</w:t>
      </w:r>
      <w:bookmarkStart w:id="80" w:name="OLE_LINK64"/>
      <w:bookmarkStart w:id="81" w:name="OLE_LINK65"/>
      <w:r>
        <w:rPr>
          <w:rFonts w:hint="eastAsia" w:asciiTheme="minorEastAsia" w:hAnsiTheme="minorEastAsia" w:eastAsiaTheme="minorEastAsia"/>
          <w:color w:val="auto"/>
          <w:sz w:val="24"/>
          <w:highlight w:val="none"/>
        </w:rPr>
        <w:t>壁温布置现状图</w:t>
      </w:r>
      <w:bookmarkEnd w:id="80"/>
      <w:bookmarkEnd w:id="81"/>
      <w:r>
        <w:rPr>
          <w:rFonts w:hint="eastAsia" w:asciiTheme="minorEastAsia" w:hAnsiTheme="minorEastAsia" w:eastAsiaTheme="minorEastAsia"/>
          <w:color w:val="auto"/>
          <w:sz w:val="24"/>
          <w:highlight w:val="none"/>
        </w:rPr>
        <w:t>详见招标附图一。</w:t>
      </w:r>
    </w:p>
    <w:p w14:paraId="1B772476">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因此屏式过热器出口管子在合适位置增加铺设壁温测点，需增加176点。末级过热器出口管子在合适位置增加铺设壁温测点，需增加207点。同理末级再热器出口管子在合适位置增加铺设壁温测点，需增加285点。水冷壁增加壁温测点按每三根管子增设一只壁温测点，优化后</w:t>
      </w:r>
      <w:bookmarkStart w:id="82" w:name="OLE_LINK27"/>
      <w:bookmarkStart w:id="83" w:name="OLE_LINK28"/>
      <w:r>
        <w:rPr>
          <w:rFonts w:hint="eastAsia" w:asciiTheme="minorEastAsia" w:hAnsiTheme="minorEastAsia" w:eastAsiaTheme="minorEastAsia"/>
          <w:color w:val="auto"/>
          <w:sz w:val="24"/>
          <w:highlight w:val="none"/>
        </w:rPr>
        <w:t>垂直管圈水冷壁出口段共增加设置壁温测点234只</w:t>
      </w:r>
      <w:bookmarkEnd w:id="82"/>
      <w:bookmarkEnd w:id="83"/>
      <w:r>
        <w:rPr>
          <w:rFonts w:hint="eastAsia" w:asciiTheme="minorEastAsia" w:hAnsiTheme="minorEastAsia" w:eastAsiaTheme="minorEastAsia"/>
          <w:color w:val="auto"/>
          <w:sz w:val="24"/>
          <w:highlight w:val="none"/>
        </w:rPr>
        <w:t>，螺旋管圈水冷壁出口段共增加设置壁温测点88只。共计增加1000（含10点备用）个测点。增加的壁温测点永久纳入DCS。</w:t>
      </w:r>
      <w:bookmarkStart w:id="84" w:name="OLE_LINK85"/>
      <w:bookmarkStart w:id="85" w:name="OLE_LINK84"/>
      <w:r>
        <w:rPr>
          <w:rFonts w:hint="eastAsia" w:asciiTheme="minorEastAsia" w:hAnsiTheme="minorEastAsia" w:eastAsiaTheme="minorEastAsia"/>
          <w:color w:val="auto"/>
          <w:sz w:val="24"/>
          <w:szCs w:val="24"/>
          <w:highlight w:val="none"/>
        </w:rPr>
        <w:t>壁温系统升级改造布置图</w:t>
      </w:r>
      <w:bookmarkEnd w:id="84"/>
      <w:bookmarkEnd w:id="85"/>
      <w:r>
        <w:rPr>
          <w:rFonts w:hint="eastAsia" w:asciiTheme="minorEastAsia" w:hAnsiTheme="minorEastAsia" w:eastAsiaTheme="minorEastAsia"/>
          <w:color w:val="auto"/>
          <w:sz w:val="24"/>
          <w:highlight w:val="none"/>
        </w:rPr>
        <w:t>详见</w:t>
      </w:r>
      <w:bookmarkStart w:id="86" w:name="OLE_LINK31"/>
      <w:r>
        <w:rPr>
          <w:rFonts w:hint="eastAsia" w:asciiTheme="minorEastAsia" w:hAnsiTheme="minorEastAsia" w:eastAsiaTheme="minorEastAsia"/>
          <w:color w:val="auto"/>
          <w:sz w:val="24"/>
          <w:highlight w:val="none"/>
        </w:rPr>
        <w:t>招标附图二</w:t>
      </w:r>
      <w:bookmarkEnd w:id="86"/>
      <w:r>
        <w:rPr>
          <w:rFonts w:hint="eastAsia" w:asciiTheme="minorEastAsia" w:hAnsiTheme="minorEastAsia" w:eastAsiaTheme="minorEastAsia"/>
          <w:color w:val="auto"/>
          <w:sz w:val="24"/>
          <w:highlight w:val="none"/>
        </w:rPr>
        <w:t>。（投标人应在此方案的基础上进行二次优化设计以满足本工程#2机组深调负荷下的锅炉水动力安全需求。）</w:t>
      </w:r>
    </w:p>
    <w:p w14:paraId="57423CA3">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壁温热电偶测温元件选用铠装双支并带出厂校验合格报告、壁温热电偶的安装方式为集热块焊接式，壁温热电偶均应配供导热板（集热块），导热块（集热块）材质与所有发生焊接的受热面管束材质保持一致，导热板（集热块）的尺寸、半径等应满足现场的实际需要，便于热电偶的反复安装与拆卸，且传热速度快、坚固耐用,贴面半圆弧度应与管道外径相同。热电偶热敏元件包含二对K分度热电偶专用导线，其绝缘层是硬质包复金属氧化物，用合金钢或不锈钢套管保护</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热电偶为双支型系列（两个热敏元件物理分开），其热元件均为锁紧式</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元件的热响应时间应符合国际标准；热电偶精度：I级±0.4%；热电偶端头组件为防水式接线盒，材料为铝制，外壳防护等级≥IP56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铠装元件均应为双支双分裂绝缘式：铠装偶体内两对偶极不但与外壳绝缘，而且两对偶极相互之间也是绝缘的，互不干扰，其绝缘电阻应符合国际标准要求。</w:t>
      </w:r>
      <w:r>
        <w:rPr>
          <w:rFonts w:hint="eastAsia" w:asciiTheme="minorEastAsia" w:hAnsiTheme="minorEastAsia" w:eastAsiaTheme="minorEastAsia"/>
          <w:color w:val="auto"/>
          <w:sz w:val="24"/>
          <w:highlight w:val="none"/>
          <w:lang w:val="en-US" w:eastAsia="zh-CN"/>
        </w:rPr>
        <w:t>热电偶接线盒至DAS箱采用补偿导线连接，补偿导线性能指标：</w:t>
      </w:r>
      <w:r>
        <w:rPr>
          <w:rFonts w:hint="eastAsia" w:asciiTheme="minorEastAsia" w:hAnsiTheme="minorEastAsia" w:eastAsiaTheme="minorEastAsia"/>
          <w:color w:val="auto"/>
          <w:sz w:val="24"/>
          <w:highlight w:val="none"/>
        </w:rPr>
        <w:t>阻燃型、K 分度精密级、200℃高温、铜塑复合带分屏蔽、氟塑料绝缘 / 护套的热电偶用补偿导线</w:t>
      </w:r>
      <w:r>
        <w:rPr>
          <w:rFonts w:hint="eastAsia" w:asciiTheme="minorEastAsia" w:hAnsiTheme="minorEastAsia" w:eastAsiaTheme="minorEastAsia"/>
          <w:color w:val="auto"/>
          <w:sz w:val="24"/>
          <w:highlight w:val="none"/>
          <w:lang w:eastAsia="zh-CN"/>
        </w:rPr>
        <w:t>。</w:t>
      </w:r>
    </w:p>
    <w:p w14:paraId="7FF8036A">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本次</w:t>
      </w:r>
      <w:bookmarkStart w:id="87" w:name="OLE_LINK18"/>
      <w:bookmarkStart w:id="88" w:name="OLE_LINK17"/>
      <w:r>
        <w:rPr>
          <w:rFonts w:hint="eastAsia" w:asciiTheme="minorEastAsia" w:hAnsiTheme="minorEastAsia" w:eastAsiaTheme="minorEastAsia"/>
          <w:color w:val="auto"/>
          <w:sz w:val="24"/>
          <w:szCs w:val="24"/>
          <w:highlight w:val="none"/>
        </w:rPr>
        <w:t>锅炉壁温系统升级改造</w:t>
      </w:r>
      <w:r>
        <w:rPr>
          <w:rFonts w:hint="eastAsia" w:asciiTheme="minorEastAsia" w:hAnsiTheme="minorEastAsia" w:eastAsiaTheme="minorEastAsia"/>
          <w:color w:val="auto"/>
          <w:sz w:val="24"/>
          <w:highlight w:val="none"/>
        </w:rPr>
        <w:t>项目</w:t>
      </w:r>
      <w:bookmarkEnd w:id="87"/>
      <w:bookmarkEnd w:id="88"/>
      <w:r>
        <w:rPr>
          <w:rFonts w:hint="eastAsia" w:asciiTheme="minorEastAsia" w:hAnsiTheme="minorEastAsia" w:eastAsiaTheme="minorEastAsia"/>
          <w:color w:val="auto"/>
          <w:sz w:val="24"/>
          <w:highlight w:val="none"/>
        </w:rPr>
        <w:t>中利旧测点因位置调整需增加的设计、安装（包括安装附件）、调试工作也属于投标人的工作范围。</w:t>
      </w:r>
    </w:p>
    <w:p w14:paraId="0FBBFD17">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因测温元件及数据采集前端基建期采用量较大，为了减少采用设备的类型、降低库存备件的储存量及不使控制系统信号接入方式变的复杂，减少中间转换设备及中间故障环节，本次增加壁温测量所采用的测温元件、I/O数据采集前端与原系统中设备保持一致，设计上亦采用24通道采集盒，以用20备4通道方式总体核算数量。通讯线使用超六类</w:t>
      </w:r>
      <w:r>
        <w:rPr>
          <w:rFonts w:hint="eastAsia" w:asciiTheme="minorEastAsia" w:hAnsiTheme="minorEastAsia" w:eastAsiaTheme="minorEastAsia"/>
          <w:color w:val="auto"/>
          <w:sz w:val="24"/>
          <w:highlight w:val="none"/>
          <w:lang w:val="en-US" w:eastAsia="zh-CN"/>
        </w:rPr>
        <w:t>带屏蔽双绞线</w:t>
      </w:r>
      <w:r>
        <w:rPr>
          <w:rFonts w:hint="eastAsia" w:asciiTheme="minorEastAsia" w:hAnsiTheme="minorEastAsia" w:eastAsiaTheme="minorEastAsia"/>
          <w:color w:val="auto"/>
          <w:sz w:val="24"/>
          <w:highlight w:val="none"/>
        </w:rPr>
        <w:t>，并以RS485通讯方式以RS485通讯转换器接入DCS控制系统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实际温度发生变化时DCS显示温度延迟不大于2S</w:t>
      </w:r>
      <w:r>
        <w:rPr>
          <w:rFonts w:hint="eastAsia" w:asciiTheme="minorEastAsia" w:hAnsiTheme="minorEastAsia" w:eastAsiaTheme="minorEastAsia"/>
          <w:color w:val="auto"/>
          <w:sz w:val="24"/>
          <w:highlight w:val="none"/>
        </w:rPr>
        <w:t>。</w:t>
      </w:r>
    </w:p>
    <w:p w14:paraId="4493610D">
      <w:pPr>
        <w:tabs>
          <w:tab w:val="left" w:pos="1440"/>
        </w:tabs>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依据实时数据进行动态运算，提供多模块，定制化的预测计算。通过在线壁温采集，编制软件，进行受热面寿命预测，提前预警，精准锁定检修位置，减少锅炉非停次数，延长检修周期。</w:t>
      </w:r>
    </w:p>
    <w:p w14:paraId="68D8AB60">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4.3</w:t>
      </w:r>
      <w:r>
        <w:rPr>
          <w:rFonts w:hint="eastAsia" w:asciiTheme="minorEastAsia" w:hAnsiTheme="minorEastAsia" w:eastAsiaTheme="minorEastAsia"/>
          <w:color w:val="auto"/>
          <w:sz w:val="24"/>
          <w:szCs w:val="24"/>
          <w:highlight w:val="none"/>
        </w:rPr>
        <w:t>壁温智能采集前端技术要求</w:t>
      </w:r>
    </w:p>
    <w:p w14:paraId="41F16E98">
      <w:pPr>
        <w:spacing w:after="0" w:line="360" w:lineRule="auto"/>
        <w:ind w:firstLine="360" w:firstLineChars="1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对于国产智能数据采集系统（IDAS）应满足如下要求： </w:t>
      </w:r>
    </w:p>
    <w:p w14:paraId="1F89FDEB">
      <w:pPr>
        <w:spacing w:after="0" w:line="360" w:lineRule="auto"/>
        <w:ind w:firstLine="360" w:firstLineChars="1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环境温度-15～75℃，远程智能数据采集前端机采用不锈钢304金属盒外壳，防护等级不低于IP65，具有防振、防干扰、防尘、防潮的功能。投标方应提供所有智能前端的通讯电缆及电源电缆。</w:t>
      </w:r>
    </w:p>
    <w:p w14:paraId="7A2CAEBC">
      <w:pPr>
        <w:spacing w:after="0" w:line="360" w:lineRule="auto"/>
        <w:ind w:firstLine="360" w:firstLineChars="15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智能前端通过两个相互独立、冗余配置的通讯接口将数据直接传送到DCS，并具备在线组态功能，通讯距离不低于1200米，通讯介质为屏蔽双绞线或光缆连接。通讯接口双网配置。智能数据采集前端的所有通讯接口具有浪涌保护功能，前端之间电气隔离，采样周期为20ms，可提供RS485/232，MODBUS及PROFIBUS-DP接口形式，提供至少115.2K的通讯速率。</w:t>
      </w:r>
    </w:p>
    <w:p w14:paraId="388A78A2">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必须能够与DCS系统直接进行数据通讯，并具备在线组态功能。远程数据采集系统与DCS联接。</w:t>
      </w:r>
    </w:p>
    <w:p w14:paraId="4EB974F6">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机组配置智能采集前端数量满足增加壁温测点数量的使用需求，并留有15%的备用裕量。（每个智能前端不大于24点）</w:t>
      </w:r>
    </w:p>
    <w:p w14:paraId="584A0466">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IDAS采用国产具有同类型工程成熟应用业绩的产品，投标方提供至少三家产品（包括无锡振华</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上海耀明</w:t>
      </w:r>
      <w:r>
        <w:rPr>
          <w:rFonts w:hint="eastAsia" w:asciiTheme="minorEastAsia" w:hAnsiTheme="minorEastAsia" w:eastAsiaTheme="minorEastAsia"/>
          <w:color w:val="auto"/>
          <w:sz w:val="24"/>
          <w:szCs w:val="24"/>
          <w:highlight w:val="none"/>
          <w:lang w:eastAsia="zh-CN"/>
        </w:rPr>
        <w:t>、无锡华东、无锡兴洲、上海微程</w:t>
      </w:r>
      <w:r>
        <w:rPr>
          <w:rFonts w:hint="eastAsia" w:asciiTheme="minorEastAsia" w:hAnsiTheme="minorEastAsia" w:eastAsiaTheme="minorEastAsia"/>
          <w:color w:val="auto"/>
          <w:sz w:val="24"/>
          <w:szCs w:val="24"/>
          <w:highlight w:val="none"/>
        </w:rPr>
        <w:t>），最高价计入总价，最终由招标方确定。</w:t>
      </w:r>
    </w:p>
    <w:p w14:paraId="00A21732">
      <w:pPr>
        <w:spacing w:after="0" w:line="360" w:lineRule="auto"/>
        <w:rPr>
          <w:rFonts w:asciiTheme="minorEastAsia" w:hAnsiTheme="minorEastAsia" w:eastAsiaTheme="minorEastAsia"/>
          <w:color w:val="auto"/>
          <w:sz w:val="24"/>
          <w:szCs w:val="24"/>
          <w:highlight w:val="none"/>
        </w:rPr>
      </w:pPr>
    </w:p>
    <w:p w14:paraId="28CEAA2C">
      <w:pPr>
        <w:spacing w:after="0" w:line="360" w:lineRule="auto"/>
        <w:rPr>
          <w:rFonts w:asciiTheme="minorEastAsia" w:hAnsiTheme="minorEastAsia" w:eastAsiaTheme="minorEastAsia"/>
          <w:bCs/>
          <w:color w:val="auto"/>
          <w:sz w:val="24"/>
          <w:szCs w:val="24"/>
          <w:highlight w:val="none"/>
        </w:rPr>
      </w:pPr>
      <w:bookmarkStart w:id="89" w:name="OLE_LINK44"/>
      <w:bookmarkStart w:id="90" w:name="OLE_LINK43"/>
      <w:r>
        <w:rPr>
          <w:rFonts w:hint="eastAsia" w:asciiTheme="minorEastAsia" w:hAnsiTheme="minorEastAsia" w:eastAsiaTheme="minorEastAsia"/>
          <w:color w:val="auto"/>
          <w:sz w:val="24"/>
          <w:szCs w:val="24"/>
          <w:highlight w:val="none"/>
        </w:rPr>
        <w:t>4.4</w:t>
      </w:r>
      <w:bookmarkEnd w:id="89"/>
      <w:bookmarkEnd w:id="90"/>
      <w:r>
        <w:rPr>
          <w:rFonts w:hint="eastAsia" w:asciiTheme="minorEastAsia" w:hAnsiTheme="minorEastAsia" w:eastAsiaTheme="minorEastAsia"/>
          <w:bCs/>
          <w:color w:val="auto"/>
          <w:sz w:val="24"/>
          <w:szCs w:val="24"/>
          <w:highlight w:val="none"/>
        </w:rPr>
        <w:t>包装、保管及组装要求</w:t>
      </w:r>
    </w:p>
    <w:p w14:paraId="285EC31B">
      <w:pPr>
        <w:spacing w:after="0" w:line="360" w:lineRule="auto"/>
        <w:rPr>
          <w:rFonts w:asciiTheme="minorEastAsia" w:hAnsiTheme="minorEastAsia" w:eastAsiaTheme="minorEastAsia"/>
          <w:bCs/>
          <w:color w:val="auto"/>
          <w:sz w:val="24"/>
          <w:szCs w:val="24"/>
          <w:highlight w:val="none"/>
        </w:rPr>
      </w:pPr>
      <w:bookmarkStart w:id="91" w:name="OLE_LINK45"/>
      <w:bookmarkStart w:id="92" w:name="OLE_LINK46"/>
      <w:r>
        <w:rPr>
          <w:rFonts w:hint="eastAsia" w:asciiTheme="minorEastAsia" w:hAnsiTheme="minorEastAsia" w:eastAsiaTheme="minorEastAsia"/>
          <w:color w:val="auto"/>
          <w:sz w:val="24"/>
          <w:szCs w:val="24"/>
          <w:highlight w:val="none"/>
        </w:rPr>
        <w:t>4.4.1</w:t>
      </w:r>
      <w:r>
        <w:rPr>
          <w:rFonts w:hint="eastAsia" w:asciiTheme="minorEastAsia" w:hAnsiTheme="minorEastAsia" w:eastAsiaTheme="minorEastAsia"/>
          <w:bCs/>
          <w:color w:val="auto"/>
          <w:sz w:val="24"/>
          <w:szCs w:val="24"/>
          <w:highlight w:val="none"/>
        </w:rPr>
        <w:t xml:space="preserve"> </w:t>
      </w:r>
      <w:bookmarkEnd w:id="91"/>
      <w:bookmarkEnd w:id="92"/>
      <w:r>
        <w:rPr>
          <w:rFonts w:hint="eastAsia" w:asciiTheme="minorEastAsia" w:hAnsiTheme="minorEastAsia" w:eastAsiaTheme="minorEastAsia"/>
          <w:bCs/>
          <w:color w:val="auto"/>
          <w:sz w:val="24"/>
          <w:szCs w:val="24"/>
          <w:highlight w:val="none"/>
        </w:rPr>
        <w:t>包装与保管</w:t>
      </w:r>
    </w:p>
    <w:p w14:paraId="49E9AC9E">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在合同设备任何部分交付运输前，投标方应按照规定和本附件所述的要求，对所要交付的该部分合同设备进行包装，该包装应具有适合长途运输、多次搬运和装卸的坚固包装，以确保合同设备安全、无损地运抵现场。</w:t>
      </w:r>
    </w:p>
    <w:p w14:paraId="153CF302">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投标方应保证对合同设备的所有包装在运输、装卸过程中完好无损，并有减震、防冲击的措施。若包装无法防止运输、装卸过程中垂直、水平加速度引起的设备损坏，投标方要在设备的设计结构上予以解决。</w:t>
      </w:r>
    </w:p>
    <w:p w14:paraId="6D9C3D5F">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投标方提供的包装应能保证合同设备在现场的保管与维护，包括在合理时间内有有效的防潮措施、抗氧化的措施。对于可以进行露天堆放的合同设备，应能保证在合理时间内的露天堆放不会对合同设备造成损害。</w:t>
      </w:r>
    </w:p>
    <w:p w14:paraId="43CA361E">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如果国家有关包装的标准或规范、本附件所述的包装技术规范及合同设备承运人的包装要求之间不一致，则投标方应按照前述各项规范或要求中的最高要求对合同设备进行包装。</w:t>
      </w:r>
    </w:p>
    <w:p w14:paraId="40D72710">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投标人在投标时应随投标文件提交合同设备的包装技术规范及标准，包括但不限于包装示意图、包装材料材质与规格等，由招标人进行审查确认。投标文件中还应包括对合同设备包装过程中将采取的防潮、防锈、防腐蚀、抗震等措施的详细描述及承诺。</w:t>
      </w:r>
    </w:p>
    <w:p w14:paraId="4138F8E9">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电气部分和控制部分设备的包装与保管措施应满足露天堆放一个月的要求，其他设备的包装与保管措施应满足露天堆放三个月的要求。</w:t>
      </w:r>
    </w:p>
    <w:p w14:paraId="4DA9FDFC">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color w:val="auto"/>
          <w:sz w:val="24"/>
          <w:szCs w:val="24"/>
          <w:highlight w:val="none"/>
        </w:rPr>
        <w:t>4.4.2</w:t>
      </w:r>
      <w:r>
        <w:rPr>
          <w:rFonts w:hint="eastAsia" w:asciiTheme="minorEastAsia" w:hAnsiTheme="minorEastAsia" w:eastAsiaTheme="minorEastAsia"/>
          <w:bCs/>
          <w:color w:val="auto"/>
          <w:sz w:val="24"/>
          <w:szCs w:val="24"/>
          <w:highlight w:val="none"/>
        </w:rPr>
        <w:t>组装</w:t>
      </w:r>
    </w:p>
    <w:p w14:paraId="67A87BBD">
      <w:pPr>
        <w:spacing w:after="0"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合同设备应尽量在投标方工厂完成组装，以尽可能减少现场的拼装工作量，以提高安装质量与效率。工厂拼装尺寸应以运输工具所能承担的最大尺寸为限。对于易受潮或现场拼装容易导致合同设备损伤或损害的尤其应整体交付至交货点。</w:t>
      </w:r>
    </w:p>
    <w:p w14:paraId="3449FAB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bCs/>
          <w:color w:val="auto"/>
          <w:sz w:val="24"/>
          <w:szCs w:val="24"/>
          <w:highlight w:val="none"/>
        </w:rPr>
        <w:t>投标人在投标文件中应对合同设备的组装情况、需进行现场拼装的合同设备应作出详细说明，以便招标人进行审查。</w:t>
      </w:r>
    </w:p>
    <w:p w14:paraId="07EC7184">
      <w:pPr>
        <w:adjustRightInd/>
        <w:snapToGrid/>
        <w:spacing w:after="0"/>
        <w:rPr>
          <w:rFonts w:asciiTheme="minorEastAsia" w:hAnsiTheme="minorEastAsia" w:eastAsiaTheme="minorEastAsia"/>
          <w:color w:val="auto"/>
          <w:sz w:val="24"/>
          <w:szCs w:val="24"/>
          <w:highlight w:val="none"/>
        </w:rPr>
      </w:pPr>
    </w:p>
    <w:p w14:paraId="7BCE7538">
      <w:pPr>
        <w:pStyle w:val="54"/>
        <w:spacing w:before="0" w:after="0"/>
        <w:rPr>
          <w:rFonts w:asciiTheme="minorEastAsia" w:hAnsiTheme="minorEastAsia" w:eastAsiaTheme="minorEastAsia" w:cstheme="minorBidi"/>
          <w:bCs w:val="0"/>
          <w:color w:val="auto"/>
          <w:kern w:val="0"/>
          <w:sz w:val="24"/>
          <w:szCs w:val="24"/>
          <w:highlight w:val="none"/>
        </w:rPr>
      </w:pPr>
      <w:r>
        <w:rPr>
          <w:rFonts w:hint="eastAsia" w:asciiTheme="minorEastAsia" w:hAnsiTheme="minorEastAsia" w:eastAsiaTheme="minorEastAsia" w:cstheme="minorBidi"/>
          <w:bCs w:val="0"/>
          <w:color w:val="auto"/>
          <w:kern w:val="0"/>
          <w:sz w:val="24"/>
          <w:szCs w:val="24"/>
          <w:highlight w:val="none"/>
        </w:rPr>
        <w:t>5、供货范围和交货期</w:t>
      </w:r>
    </w:p>
    <w:p w14:paraId="678F906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一般要求</w:t>
      </w:r>
    </w:p>
    <w:p w14:paraId="111FFFC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5.1.1 本章规定了合同设备的供货范围。投标人保证提供设备为全新的、先进的、成熟的、完整的和安全可靠的，且设备的技术经济性能符合本技术协议的要求。</w:t>
      </w:r>
    </w:p>
    <w:p w14:paraId="3D1887A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5.1.2 投标人提供详细供货清单，清单中依次说明型号、数量、产地、生产厂家等内容。本章所列的供货范围是投标人至少应供的，对于属于整套设备运行和施工所必需的部件，若在安装、调试、运行中发现缺项，即使本章未列出和</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或数目不足，投标人仍须在执行合同时补足，并不引起合同费用增加。</w:t>
      </w:r>
    </w:p>
    <w:p w14:paraId="7BC4930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5.1.3 除有特别注明外，所列数量均为单台机组所需。</w:t>
      </w:r>
    </w:p>
    <w:p w14:paraId="1CFCD88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5.1.4 投标人提供所有安装和检修所需专用工具和消耗材料等，提供详细供货清单。并提供安装调试用备品备件。</w:t>
      </w:r>
    </w:p>
    <w:p w14:paraId="13BEA4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5.1.5 提供所供设备中的进口件清单。</w:t>
      </w:r>
    </w:p>
    <w:p w14:paraId="4C98C28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6投标人提供的技术资料清单见第六章。</w:t>
      </w:r>
    </w:p>
    <w:p w14:paraId="20400F1F">
      <w:pPr>
        <w:tabs>
          <w:tab w:val="left" w:pos="0"/>
        </w:tabs>
        <w:spacing w:after="0" w:line="360" w:lineRule="auto"/>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5.2供货范围</w:t>
      </w:r>
    </w:p>
    <w:p w14:paraId="5B774CDA">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应确保供货范围完整，满足招标人对安装、调试、运行和设备性能的要求，并提供设备安装、调试、投运相关的技术服务和配合。在技术</w:t>
      </w:r>
      <w:r>
        <w:rPr>
          <w:rFonts w:hint="eastAsia" w:asciiTheme="minorEastAsia" w:hAnsiTheme="minorEastAsia" w:eastAsiaTheme="minorEastAsia"/>
          <w:color w:val="auto"/>
          <w:sz w:val="24"/>
          <w:szCs w:val="24"/>
          <w:highlight w:val="none"/>
        </w:rPr>
        <w:t>协议</w:t>
      </w:r>
      <w:r>
        <w:rPr>
          <w:rFonts w:asciiTheme="minorEastAsia" w:hAnsiTheme="minorEastAsia" w:eastAsiaTheme="minorEastAsia"/>
          <w:color w:val="auto"/>
          <w:sz w:val="24"/>
          <w:szCs w:val="24"/>
          <w:highlight w:val="none"/>
        </w:rPr>
        <w:t>中涉及的供货要求也作为本供货范围的补充，若在安装、调试、运行中发现缺项，</w:t>
      </w: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应补充供货。</w:t>
      </w:r>
    </w:p>
    <w:p w14:paraId="4019AC89">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提供的设备包括：</w:t>
      </w:r>
    </w:p>
    <w:p w14:paraId="5B19CB26">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1</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壁温设备元件及安装</w:t>
      </w:r>
      <w:r>
        <w:rPr>
          <w:rFonts w:asciiTheme="minorEastAsia" w:hAnsiTheme="minorEastAsia" w:eastAsiaTheme="minorEastAsia"/>
          <w:color w:val="auto"/>
          <w:sz w:val="24"/>
          <w:szCs w:val="24"/>
          <w:highlight w:val="none"/>
        </w:rPr>
        <w:t>附件</w:t>
      </w:r>
      <w:r>
        <w:rPr>
          <w:rFonts w:hint="eastAsia" w:asciiTheme="minorEastAsia" w:hAnsiTheme="minorEastAsia" w:eastAsiaTheme="minorEastAsia"/>
          <w:color w:val="auto"/>
          <w:sz w:val="24"/>
          <w:szCs w:val="24"/>
          <w:highlight w:val="none"/>
        </w:rPr>
        <w:t>。</w:t>
      </w:r>
    </w:p>
    <w:p w14:paraId="135C737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2</w:t>
      </w:r>
      <w:r>
        <w:rPr>
          <w:rFonts w:hint="eastAsia" w:asciiTheme="minorEastAsia" w:hAnsiTheme="minorEastAsia" w:eastAsiaTheme="minorEastAsia"/>
          <w:color w:val="auto"/>
          <w:sz w:val="24"/>
          <w:szCs w:val="24"/>
          <w:highlight w:val="none"/>
        </w:rPr>
        <w:t>）智能采集前端、RS485转换器。</w:t>
      </w:r>
    </w:p>
    <w:p w14:paraId="03C4761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3</w:t>
      </w:r>
      <w:r>
        <w:rPr>
          <w:rFonts w:hint="eastAsia" w:asciiTheme="minorEastAsia" w:hAnsiTheme="minorEastAsia" w:eastAsiaTheme="minorEastAsia"/>
          <w:color w:val="auto"/>
          <w:sz w:val="24"/>
          <w:szCs w:val="24"/>
          <w:highlight w:val="none"/>
        </w:rPr>
        <w:t>）接线盒、补偿导线、光纤/</w:t>
      </w:r>
      <w:r>
        <w:rPr>
          <w:rFonts w:hint="eastAsia" w:asciiTheme="minorEastAsia" w:hAnsiTheme="minorEastAsia" w:eastAsiaTheme="minorEastAsia"/>
          <w:color w:val="auto"/>
          <w:sz w:val="24"/>
          <w:szCs w:val="24"/>
          <w:highlight w:val="none"/>
          <w:lang w:eastAsia="zh-CN"/>
        </w:rPr>
        <w:t>双绞线</w:t>
      </w:r>
      <w:r>
        <w:rPr>
          <w:rFonts w:hint="eastAsia" w:asciiTheme="minorEastAsia" w:hAnsiTheme="minorEastAsia" w:eastAsiaTheme="minorEastAsia"/>
          <w:color w:val="auto"/>
          <w:sz w:val="24"/>
          <w:szCs w:val="24"/>
          <w:highlight w:val="none"/>
        </w:rPr>
        <w:t>等</w:t>
      </w:r>
    </w:p>
    <w:p w14:paraId="7A37ECB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4</w:t>
      </w:r>
      <w:r>
        <w:rPr>
          <w:rFonts w:hint="eastAsia" w:asciiTheme="minorEastAsia" w:hAnsiTheme="minorEastAsia" w:eastAsiaTheme="minorEastAsia"/>
          <w:color w:val="auto"/>
          <w:sz w:val="24"/>
          <w:szCs w:val="24"/>
          <w:highlight w:val="none"/>
        </w:rPr>
        <w:t>）其他本工程所需的所有附件</w:t>
      </w:r>
    </w:p>
    <w:p w14:paraId="05C579B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rPr>
        <w:t>5</w:t>
      </w:r>
      <w:r>
        <w:rPr>
          <w:rFonts w:hint="eastAsia" w:asciiTheme="minorEastAsia" w:hAnsiTheme="minorEastAsia" w:eastAsiaTheme="minorEastAsia"/>
          <w:color w:val="auto"/>
          <w:sz w:val="24"/>
          <w:szCs w:val="24"/>
          <w:highlight w:val="none"/>
        </w:rPr>
        <w:t>）随机备件等</w:t>
      </w:r>
    </w:p>
    <w:p w14:paraId="522BBDDD">
      <w:pPr>
        <w:spacing w:after="0" w:line="360" w:lineRule="auto"/>
        <w:rPr>
          <w:rFonts w:asciiTheme="minorEastAsia" w:hAnsiTheme="minorEastAsia" w:eastAsiaTheme="minorEastAsia"/>
          <w:color w:val="auto"/>
          <w:sz w:val="24"/>
          <w:szCs w:val="24"/>
          <w:highlight w:val="none"/>
        </w:rPr>
      </w:pPr>
    </w:p>
    <w:p w14:paraId="75C6E8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w:t>
      </w:r>
      <w:r>
        <w:rPr>
          <w:rFonts w:asciiTheme="minorEastAsia" w:hAnsiTheme="minorEastAsia" w:eastAsiaTheme="minorEastAsia"/>
          <w:color w:val="auto"/>
          <w:sz w:val="24"/>
          <w:szCs w:val="24"/>
          <w:highlight w:val="none"/>
        </w:rPr>
        <w:t>2.1供货设备表（单台</w:t>
      </w:r>
      <w:r>
        <w:rPr>
          <w:rFonts w:hint="eastAsia" w:asciiTheme="minorEastAsia" w:hAnsiTheme="minorEastAsia" w:eastAsiaTheme="minorEastAsia"/>
          <w:color w:val="auto"/>
          <w:sz w:val="24"/>
          <w:szCs w:val="24"/>
          <w:highlight w:val="none"/>
        </w:rPr>
        <w:t>机组</w:t>
      </w:r>
      <w:r>
        <w:rPr>
          <w:rFonts w:asciiTheme="minorEastAsia" w:hAnsiTheme="minorEastAsia" w:eastAsiaTheme="minorEastAsia"/>
          <w:color w:val="auto"/>
          <w:sz w:val="24"/>
          <w:szCs w:val="24"/>
          <w:highlight w:val="none"/>
        </w:rPr>
        <w:t>）</w:t>
      </w:r>
    </w:p>
    <w:tbl>
      <w:tblPr>
        <w:tblStyle w:val="58"/>
        <w:tblW w:w="9185"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28" w:type="dxa"/>
          <w:bottom w:w="0" w:type="dxa"/>
          <w:right w:w="28" w:type="dxa"/>
        </w:tblCellMar>
      </w:tblPr>
      <w:tblGrid>
        <w:gridCol w:w="533"/>
        <w:gridCol w:w="3446"/>
        <w:gridCol w:w="2087"/>
        <w:gridCol w:w="751"/>
        <w:gridCol w:w="667"/>
        <w:gridCol w:w="795"/>
        <w:gridCol w:w="906"/>
      </w:tblGrid>
      <w:tr w14:paraId="4496259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273EE45A">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序号</w:t>
            </w:r>
          </w:p>
        </w:tc>
        <w:tc>
          <w:tcPr>
            <w:tcW w:w="3446" w:type="dxa"/>
            <w:vAlign w:val="center"/>
          </w:tcPr>
          <w:p w14:paraId="1428DD39">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名称</w:t>
            </w:r>
          </w:p>
        </w:tc>
        <w:tc>
          <w:tcPr>
            <w:tcW w:w="2087" w:type="dxa"/>
            <w:vAlign w:val="center"/>
          </w:tcPr>
          <w:p w14:paraId="74DEFD1B">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规格和型号</w:t>
            </w:r>
          </w:p>
        </w:tc>
        <w:tc>
          <w:tcPr>
            <w:tcW w:w="751" w:type="dxa"/>
            <w:vAlign w:val="center"/>
          </w:tcPr>
          <w:p w14:paraId="10455862">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单位</w:t>
            </w:r>
          </w:p>
        </w:tc>
        <w:tc>
          <w:tcPr>
            <w:tcW w:w="667" w:type="dxa"/>
            <w:vAlign w:val="center"/>
          </w:tcPr>
          <w:p w14:paraId="2F74B6C6">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数量</w:t>
            </w:r>
          </w:p>
        </w:tc>
        <w:tc>
          <w:tcPr>
            <w:tcW w:w="795" w:type="dxa"/>
            <w:vAlign w:val="center"/>
          </w:tcPr>
          <w:p w14:paraId="2C62FE8C">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生产厂家</w:t>
            </w:r>
          </w:p>
        </w:tc>
        <w:tc>
          <w:tcPr>
            <w:tcW w:w="906" w:type="dxa"/>
            <w:vAlign w:val="center"/>
          </w:tcPr>
          <w:p w14:paraId="48D2EAB1">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备注</w:t>
            </w:r>
          </w:p>
        </w:tc>
      </w:tr>
      <w:tr w14:paraId="126EFE7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6AAC3E8F">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3446" w:type="dxa"/>
            <w:vAlign w:val="center"/>
          </w:tcPr>
          <w:p w14:paraId="24D74C08">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rPr>
              <w:t>末过、末再、水冷壁、屏过壁温热电偶元件</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壁温</w:t>
            </w:r>
            <w:r>
              <w:rPr>
                <w:rFonts w:hint="eastAsia" w:asciiTheme="minorEastAsia" w:hAnsiTheme="minorEastAsia" w:eastAsiaTheme="minorEastAsia"/>
                <w:color w:val="auto"/>
                <w:sz w:val="24"/>
                <w:szCs w:val="24"/>
                <w:highlight w:val="none"/>
                <w:lang w:val="en-US" w:eastAsia="zh-CN"/>
              </w:rPr>
              <w:t>安装块</w:t>
            </w:r>
          </w:p>
        </w:tc>
        <w:tc>
          <w:tcPr>
            <w:tcW w:w="2087" w:type="dxa"/>
            <w:vAlign w:val="center"/>
          </w:tcPr>
          <w:p w14:paraId="3F27676D">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 xml:space="preserve">型号：WRKT2-11B分度：K 精度：1级 直径： 5mm  保护铠材质: </w:t>
            </w:r>
            <w:r>
              <w:rPr>
                <w:rFonts w:hint="eastAsia" w:asciiTheme="minorEastAsia" w:hAnsiTheme="minorEastAsia" w:eastAsiaTheme="minorEastAsia"/>
                <w:color w:val="auto"/>
                <w:sz w:val="24"/>
                <w:highlight w:val="none"/>
              </w:rPr>
              <w:t>316L</w:t>
            </w:r>
          </w:p>
        </w:tc>
        <w:tc>
          <w:tcPr>
            <w:tcW w:w="751" w:type="dxa"/>
            <w:vAlign w:val="center"/>
          </w:tcPr>
          <w:p w14:paraId="324A5A4F">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72ED26B3">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1000</w:t>
            </w:r>
          </w:p>
        </w:tc>
        <w:tc>
          <w:tcPr>
            <w:tcW w:w="795" w:type="dxa"/>
            <w:vAlign w:val="center"/>
          </w:tcPr>
          <w:p w14:paraId="20D29A95">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906" w:type="dxa"/>
            <w:vAlign w:val="center"/>
          </w:tcPr>
          <w:p w14:paraId="61B30A49">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提供具体长度及数量，测温范围0-800℃</w:t>
            </w:r>
          </w:p>
        </w:tc>
      </w:tr>
      <w:tr w14:paraId="20AC637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57914A05">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w:t>
            </w:r>
          </w:p>
        </w:tc>
        <w:tc>
          <w:tcPr>
            <w:tcW w:w="3446" w:type="dxa"/>
          </w:tcPr>
          <w:p w14:paraId="6D3E9694">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智能I/O采集前端</w:t>
            </w:r>
          </w:p>
        </w:tc>
        <w:tc>
          <w:tcPr>
            <w:tcW w:w="2087" w:type="dxa"/>
            <w:vAlign w:val="center"/>
          </w:tcPr>
          <w:p w14:paraId="7FA7FF01">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每个智能前端不大于</w:t>
            </w:r>
            <w:r>
              <w:rPr>
                <w:rFonts w:cs="Times New Roman" w:asciiTheme="minorEastAsia" w:hAnsiTheme="minorEastAsia" w:eastAsiaTheme="minorEastAsia"/>
                <w:color w:val="auto"/>
                <w:sz w:val="24"/>
                <w:szCs w:val="24"/>
                <w:highlight w:val="none"/>
              </w:rPr>
              <w:t>24点</w:t>
            </w:r>
          </w:p>
        </w:tc>
        <w:tc>
          <w:tcPr>
            <w:tcW w:w="751" w:type="dxa"/>
            <w:vAlign w:val="center"/>
          </w:tcPr>
          <w:p w14:paraId="6841C7A8">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7FBEDAA2">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50</w:t>
            </w:r>
          </w:p>
        </w:tc>
        <w:tc>
          <w:tcPr>
            <w:tcW w:w="795" w:type="dxa"/>
            <w:vAlign w:val="center"/>
          </w:tcPr>
          <w:p w14:paraId="3C51AD3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E7237E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满足增加壁温测点的使用需求</w:t>
            </w:r>
          </w:p>
        </w:tc>
      </w:tr>
      <w:tr w14:paraId="20B1010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72FDFE8D">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w:t>
            </w:r>
          </w:p>
        </w:tc>
        <w:tc>
          <w:tcPr>
            <w:tcW w:w="3446" w:type="dxa"/>
          </w:tcPr>
          <w:p w14:paraId="384BF1FD">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bookmarkStart w:id="93" w:name="OLE_LINK2"/>
            <w:r>
              <w:rPr>
                <w:rFonts w:hint="eastAsia" w:asciiTheme="minorEastAsia" w:hAnsiTheme="minorEastAsia" w:eastAsiaTheme="minorEastAsia"/>
                <w:color w:val="auto"/>
                <w:szCs w:val="24"/>
                <w:highlight w:val="none"/>
              </w:rPr>
              <w:t>补偿导线</w:t>
            </w:r>
            <w:bookmarkEnd w:id="93"/>
          </w:p>
        </w:tc>
        <w:tc>
          <w:tcPr>
            <w:tcW w:w="2087" w:type="dxa"/>
            <w:shd w:val="clear" w:color="auto" w:fill="auto"/>
            <w:vAlign w:val="center"/>
          </w:tcPr>
          <w:p w14:paraId="295AB03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auto"/>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ZR-KX-HS(200)-FP2F-2X1.5</w:t>
            </w:r>
          </w:p>
        </w:tc>
        <w:tc>
          <w:tcPr>
            <w:tcW w:w="751" w:type="dxa"/>
            <w:vAlign w:val="center"/>
          </w:tcPr>
          <w:p w14:paraId="4B9DB2F3">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米</w:t>
            </w:r>
          </w:p>
        </w:tc>
        <w:tc>
          <w:tcPr>
            <w:tcW w:w="667" w:type="dxa"/>
            <w:vAlign w:val="center"/>
          </w:tcPr>
          <w:p w14:paraId="62EB54DF">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795" w:type="dxa"/>
            <w:vAlign w:val="center"/>
          </w:tcPr>
          <w:p w14:paraId="6EF3F271">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7438531D">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满足现场使用需求</w:t>
            </w:r>
          </w:p>
        </w:tc>
      </w:tr>
      <w:tr w14:paraId="0013300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1720769C">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w:t>
            </w:r>
          </w:p>
        </w:tc>
        <w:tc>
          <w:tcPr>
            <w:tcW w:w="3446" w:type="dxa"/>
          </w:tcPr>
          <w:p w14:paraId="54A183F4">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接线盒</w:t>
            </w:r>
          </w:p>
        </w:tc>
        <w:tc>
          <w:tcPr>
            <w:tcW w:w="2087" w:type="dxa"/>
            <w:vAlign w:val="center"/>
          </w:tcPr>
          <w:p w14:paraId="3AB7283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6625CDFD">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个</w:t>
            </w:r>
          </w:p>
        </w:tc>
        <w:tc>
          <w:tcPr>
            <w:tcW w:w="667" w:type="dxa"/>
            <w:vAlign w:val="center"/>
          </w:tcPr>
          <w:p w14:paraId="0061E0F3">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strike/>
                <w:color w:val="auto"/>
                <w:sz w:val="24"/>
                <w:szCs w:val="24"/>
                <w:highlight w:val="none"/>
              </w:rPr>
            </w:pPr>
          </w:p>
        </w:tc>
        <w:tc>
          <w:tcPr>
            <w:tcW w:w="795" w:type="dxa"/>
            <w:vAlign w:val="center"/>
          </w:tcPr>
          <w:p w14:paraId="0A8EAD3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strike/>
                <w:color w:val="auto"/>
                <w:sz w:val="24"/>
                <w:szCs w:val="24"/>
                <w:highlight w:val="none"/>
              </w:rPr>
            </w:pPr>
          </w:p>
        </w:tc>
        <w:tc>
          <w:tcPr>
            <w:tcW w:w="906" w:type="dxa"/>
            <w:vAlign w:val="center"/>
          </w:tcPr>
          <w:p w14:paraId="38C2980E">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满足现场使用需求</w:t>
            </w:r>
          </w:p>
        </w:tc>
      </w:tr>
      <w:tr w14:paraId="152426D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106EB47D">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w:t>
            </w:r>
          </w:p>
        </w:tc>
        <w:tc>
          <w:tcPr>
            <w:tcW w:w="3446" w:type="dxa"/>
          </w:tcPr>
          <w:p w14:paraId="5D82F990">
            <w:pPr>
              <w:pStyle w:val="25"/>
              <w:keepNext w:val="0"/>
              <w:keepLines w:val="0"/>
              <w:pageBreakBefore w:val="0"/>
              <w:widowControl/>
              <w:kinsoku/>
              <w:wordWrap/>
              <w:overflowPunct/>
              <w:topLinePunct w:val="0"/>
              <w:autoSpaceDE/>
              <w:autoSpaceDN/>
              <w:bidi w:val="0"/>
              <w:adjustRightInd w:val="0"/>
              <w:snapToGrid w:val="0"/>
              <w:spacing w:line="240" w:lineRule="auto"/>
              <w:rPr>
                <w:rFonts w:hint="eastAsia" w:asciiTheme="minorEastAsia" w:hAnsiTheme="minorEastAsia" w:eastAsiaTheme="minorEastAsia"/>
                <w:color w:val="auto"/>
                <w:szCs w:val="24"/>
                <w:highlight w:val="none"/>
                <w:lang w:eastAsia="zh-CN"/>
              </w:rPr>
            </w:pPr>
            <w:r>
              <w:rPr>
                <w:rFonts w:hint="eastAsia" w:asciiTheme="minorEastAsia" w:hAnsiTheme="minorEastAsia" w:eastAsiaTheme="minorEastAsia"/>
                <w:color w:val="auto"/>
                <w:szCs w:val="24"/>
                <w:highlight w:val="none"/>
              </w:rPr>
              <w:t>光纤/</w:t>
            </w:r>
            <w:r>
              <w:rPr>
                <w:rFonts w:hint="eastAsia" w:asciiTheme="minorEastAsia" w:hAnsiTheme="minorEastAsia" w:eastAsiaTheme="minorEastAsia"/>
                <w:color w:val="auto"/>
                <w:szCs w:val="24"/>
                <w:highlight w:val="none"/>
                <w:lang w:eastAsia="zh-CN"/>
              </w:rPr>
              <w:t>双绞线</w:t>
            </w:r>
          </w:p>
        </w:tc>
        <w:tc>
          <w:tcPr>
            <w:tcW w:w="2087" w:type="dxa"/>
            <w:vAlign w:val="center"/>
          </w:tcPr>
          <w:p w14:paraId="5D86A986">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787786A4">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米</w:t>
            </w:r>
          </w:p>
        </w:tc>
        <w:tc>
          <w:tcPr>
            <w:tcW w:w="667" w:type="dxa"/>
            <w:vAlign w:val="center"/>
          </w:tcPr>
          <w:p w14:paraId="0EA4FAB0">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795" w:type="dxa"/>
            <w:vAlign w:val="center"/>
          </w:tcPr>
          <w:p w14:paraId="2AED3C7B">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F7F421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满足现场使用需求</w:t>
            </w:r>
          </w:p>
        </w:tc>
      </w:tr>
      <w:tr w14:paraId="299AAEE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2172C54C">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6</w:t>
            </w:r>
          </w:p>
        </w:tc>
        <w:tc>
          <w:tcPr>
            <w:tcW w:w="3446" w:type="dxa"/>
          </w:tcPr>
          <w:p w14:paraId="0E43DF85">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RS485转换器</w:t>
            </w:r>
          </w:p>
        </w:tc>
        <w:tc>
          <w:tcPr>
            <w:tcW w:w="2087" w:type="dxa"/>
            <w:vAlign w:val="center"/>
          </w:tcPr>
          <w:p w14:paraId="55361E2C">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1D179490">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336D3C96">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795" w:type="dxa"/>
            <w:vAlign w:val="center"/>
          </w:tcPr>
          <w:p w14:paraId="7374900E">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BEC9341">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bookmarkStart w:id="94" w:name="OLE_LINK14"/>
            <w:bookmarkStart w:id="95" w:name="OLE_LINK13"/>
            <w:r>
              <w:rPr>
                <w:rFonts w:hint="eastAsia" w:cs="Times New Roman" w:asciiTheme="minorEastAsia" w:hAnsiTheme="minorEastAsia" w:eastAsiaTheme="minorEastAsia"/>
                <w:color w:val="auto"/>
                <w:sz w:val="24"/>
                <w:szCs w:val="24"/>
                <w:highlight w:val="none"/>
              </w:rPr>
              <w:t>满足现场使用需求</w:t>
            </w:r>
            <w:bookmarkEnd w:id="94"/>
            <w:bookmarkEnd w:id="95"/>
          </w:p>
        </w:tc>
      </w:tr>
      <w:tr w14:paraId="2CAFE74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68980540">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7</w:t>
            </w:r>
          </w:p>
        </w:tc>
        <w:tc>
          <w:tcPr>
            <w:tcW w:w="3446" w:type="dxa"/>
          </w:tcPr>
          <w:p w14:paraId="6B67129A">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软件编制</w:t>
            </w:r>
          </w:p>
        </w:tc>
        <w:tc>
          <w:tcPr>
            <w:tcW w:w="2087" w:type="dxa"/>
            <w:vAlign w:val="center"/>
          </w:tcPr>
          <w:p w14:paraId="6D943405">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16811E7D">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25DD29D5">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795" w:type="dxa"/>
            <w:vAlign w:val="center"/>
          </w:tcPr>
          <w:p w14:paraId="59ED7C4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3A220FB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56A817D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6D752985">
            <w:pPr>
              <w:pStyle w:val="25"/>
              <w:keepNext w:val="0"/>
              <w:keepLines w:val="0"/>
              <w:pageBreakBefore w:val="0"/>
              <w:widowControl/>
              <w:kinsoku/>
              <w:wordWrap/>
              <w:overflowPunct/>
              <w:topLinePunct w:val="0"/>
              <w:autoSpaceDE/>
              <w:autoSpaceDN/>
              <w:bidi w:val="0"/>
              <w:adjustRightInd w:val="0"/>
              <w:snapToGrid w:val="0"/>
              <w:spacing w:line="240" w:lineRule="auto"/>
              <w:jc w:val="center"/>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8</w:t>
            </w:r>
          </w:p>
        </w:tc>
        <w:tc>
          <w:tcPr>
            <w:tcW w:w="3446" w:type="dxa"/>
          </w:tcPr>
          <w:p w14:paraId="46740AFB">
            <w:pPr>
              <w:pStyle w:val="25"/>
              <w:keepNext w:val="0"/>
              <w:keepLines w:val="0"/>
              <w:pageBreakBefore w:val="0"/>
              <w:widowControl/>
              <w:kinsoku/>
              <w:wordWrap/>
              <w:overflowPunct/>
              <w:topLinePunct w:val="0"/>
              <w:autoSpaceDE/>
              <w:autoSpaceDN/>
              <w:bidi w:val="0"/>
              <w:adjustRightInd w:val="0"/>
              <w:snapToGrid w:val="0"/>
              <w:spacing w:line="240" w:lineRule="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DCS组态</w:t>
            </w:r>
          </w:p>
        </w:tc>
        <w:tc>
          <w:tcPr>
            <w:tcW w:w="2087" w:type="dxa"/>
            <w:vAlign w:val="center"/>
          </w:tcPr>
          <w:p w14:paraId="348DB7CF">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52AA0569">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56FC3DD7">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795" w:type="dxa"/>
            <w:vAlign w:val="center"/>
          </w:tcPr>
          <w:p w14:paraId="73F12ECF">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55F1B56C">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1FA9CE3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14B60B2E">
            <w:pPr>
              <w:pStyle w:val="25"/>
              <w:keepNext w:val="0"/>
              <w:keepLines w:val="0"/>
              <w:pageBreakBefore w:val="0"/>
              <w:widowControl/>
              <w:kinsoku/>
              <w:wordWrap/>
              <w:overflowPunct/>
              <w:topLinePunct w:val="0"/>
              <w:autoSpaceDE/>
              <w:autoSpaceDN/>
              <w:bidi w:val="0"/>
              <w:adjustRightInd w:val="0"/>
              <w:snapToGrid w:val="0"/>
              <w:spacing w:line="240" w:lineRule="auto"/>
              <w:ind w:firstLine="120" w:firstLineChars="50"/>
              <w:jc w:val="center"/>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9</w:t>
            </w:r>
          </w:p>
        </w:tc>
        <w:tc>
          <w:tcPr>
            <w:tcW w:w="3446" w:type="dxa"/>
            <w:vAlign w:val="center"/>
          </w:tcPr>
          <w:p w14:paraId="755F54A8">
            <w:pPr>
              <w:keepNext w:val="0"/>
              <w:keepLines w:val="0"/>
              <w:pageBreakBefore w:val="0"/>
              <w:widowControl/>
              <w:kinsoku/>
              <w:wordWrap/>
              <w:overflowPunct/>
              <w:topLinePunct w:val="0"/>
              <w:autoSpaceDE/>
              <w:autoSpaceDN/>
              <w:bidi w:val="0"/>
              <w:adjustRightInd w:val="0"/>
              <w:snapToGrid w:val="0"/>
              <w:spacing w:after="0" w:line="240" w:lineRule="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rPr>
              <w:t>DCS通讯卡</w:t>
            </w:r>
            <w:r>
              <w:rPr>
                <w:rFonts w:hint="eastAsia" w:asciiTheme="minorEastAsia" w:hAnsiTheme="minorEastAsia" w:eastAsiaTheme="minorEastAsia"/>
                <w:color w:val="auto"/>
                <w:sz w:val="24"/>
                <w:szCs w:val="24"/>
                <w:highlight w:val="none"/>
                <w:lang w:val="en-US" w:eastAsia="zh-CN"/>
              </w:rPr>
              <w:t>带底座</w:t>
            </w:r>
          </w:p>
        </w:tc>
        <w:tc>
          <w:tcPr>
            <w:tcW w:w="2087" w:type="dxa"/>
            <w:vAlign w:val="center"/>
          </w:tcPr>
          <w:p w14:paraId="6F405328">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354351E6">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套</w:t>
            </w:r>
          </w:p>
        </w:tc>
        <w:tc>
          <w:tcPr>
            <w:tcW w:w="667" w:type="dxa"/>
            <w:vAlign w:val="center"/>
          </w:tcPr>
          <w:p w14:paraId="6177E1F7">
            <w:pPr>
              <w:keepNext w:val="0"/>
              <w:keepLines w:val="0"/>
              <w:pageBreakBefore w:val="0"/>
              <w:widowControl/>
              <w:kinsoku/>
              <w:wordWrap/>
              <w:overflowPunct/>
              <w:topLinePunct w:val="0"/>
              <w:autoSpaceDE/>
              <w:autoSpaceDN/>
              <w:bidi w:val="0"/>
              <w:adjustRightInd w:val="0"/>
              <w:snapToGrid w:val="0"/>
              <w:spacing w:after="0" w:line="240" w:lineRule="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4</w:t>
            </w:r>
          </w:p>
        </w:tc>
        <w:tc>
          <w:tcPr>
            <w:tcW w:w="795" w:type="dxa"/>
            <w:vAlign w:val="center"/>
          </w:tcPr>
          <w:p w14:paraId="58355D4B">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0CA1F8EB">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cs="Times New Roman" w:asciiTheme="minorEastAsia" w:hAnsiTheme="minorEastAsia" w:eastAsiaTheme="minorEastAsia"/>
                <w:color w:val="auto"/>
                <w:sz w:val="24"/>
                <w:szCs w:val="24"/>
                <w:highlight w:val="none"/>
                <w:lang w:val="en-US" w:eastAsia="zh-CN"/>
              </w:rPr>
              <w:t>测点显示迟滞时间小于2s</w:t>
            </w:r>
          </w:p>
        </w:tc>
      </w:tr>
      <w:tr w14:paraId="1D0AAC0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tcPr>
          <w:p w14:paraId="79D98E25">
            <w:pPr>
              <w:pStyle w:val="25"/>
              <w:keepNext w:val="0"/>
              <w:keepLines w:val="0"/>
              <w:pageBreakBefore w:val="0"/>
              <w:widowControl/>
              <w:kinsoku/>
              <w:wordWrap/>
              <w:overflowPunct/>
              <w:topLinePunct w:val="0"/>
              <w:autoSpaceDE/>
              <w:autoSpaceDN/>
              <w:bidi w:val="0"/>
              <w:adjustRightInd w:val="0"/>
              <w:snapToGrid w:val="0"/>
              <w:spacing w:line="240" w:lineRule="auto"/>
              <w:rPr>
                <w:rFonts w:hint="default" w:asciiTheme="minorEastAsia" w:hAnsiTheme="minorEastAsia" w:eastAsiaTheme="minorEastAsia"/>
                <w:color w:val="auto"/>
                <w:szCs w:val="24"/>
                <w:highlight w:val="none"/>
                <w:lang w:val="en-US" w:eastAsia="zh-CN"/>
              </w:rPr>
            </w:pPr>
            <w:r>
              <w:rPr>
                <w:rFonts w:hint="eastAsia" w:asciiTheme="minorEastAsia" w:hAnsiTheme="minorEastAsia" w:eastAsiaTheme="minorEastAsia"/>
                <w:color w:val="auto"/>
                <w:szCs w:val="24"/>
                <w:highlight w:val="none"/>
                <w:lang w:val="en-US" w:eastAsia="zh-CN"/>
              </w:rPr>
              <w:t>10</w:t>
            </w:r>
          </w:p>
        </w:tc>
        <w:tc>
          <w:tcPr>
            <w:tcW w:w="3446" w:type="dxa"/>
            <w:vAlign w:val="center"/>
          </w:tcPr>
          <w:p w14:paraId="4DCEB180">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Cs w:val="24"/>
                <w:highlight w:val="none"/>
              </w:rPr>
              <w:t>智能I/O采集前端</w:t>
            </w:r>
            <w:r>
              <w:rPr>
                <w:rFonts w:hint="eastAsia" w:asciiTheme="minorEastAsia" w:hAnsiTheme="minorEastAsia" w:eastAsiaTheme="minorEastAsia"/>
                <w:color w:val="auto"/>
                <w:szCs w:val="24"/>
                <w:highlight w:val="none"/>
                <w:lang w:val="en-US" w:eastAsia="zh-CN"/>
              </w:rPr>
              <w:t>电源分配箱及电源</w:t>
            </w:r>
          </w:p>
        </w:tc>
        <w:tc>
          <w:tcPr>
            <w:tcW w:w="2087" w:type="dxa"/>
            <w:vAlign w:val="center"/>
          </w:tcPr>
          <w:p w14:paraId="54808DC3">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333A9415">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套</w:t>
            </w:r>
          </w:p>
        </w:tc>
        <w:tc>
          <w:tcPr>
            <w:tcW w:w="667" w:type="dxa"/>
            <w:vAlign w:val="center"/>
          </w:tcPr>
          <w:p w14:paraId="78F91480">
            <w:pPr>
              <w:keepNext w:val="0"/>
              <w:keepLines w:val="0"/>
              <w:pageBreakBefore w:val="0"/>
              <w:widowControl/>
              <w:kinsoku/>
              <w:wordWrap/>
              <w:overflowPunct/>
              <w:topLinePunct w:val="0"/>
              <w:autoSpaceDE/>
              <w:autoSpaceDN/>
              <w:bidi w:val="0"/>
              <w:adjustRightInd w:val="0"/>
              <w:snapToGrid w:val="0"/>
              <w:spacing w:after="0" w:line="240" w:lineRule="auto"/>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2</w:t>
            </w:r>
          </w:p>
        </w:tc>
        <w:tc>
          <w:tcPr>
            <w:tcW w:w="795" w:type="dxa"/>
            <w:vAlign w:val="center"/>
          </w:tcPr>
          <w:p w14:paraId="01EA5BCB">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70D050F0">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5B79E0B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71C45DAC">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3446" w:type="dxa"/>
            <w:vAlign w:val="center"/>
          </w:tcPr>
          <w:p w14:paraId="33A2EB0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2087" w:type="dxa"/>
            <w:vAlign w:val="center"/>
          </w:tcPr>
          <w:p w14:paraId="4B0BC19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440436B1">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667" w:type="dxa"/>
            <w:vAlign w:val="center"/>
          </w:tcPr>
          <w:p w14:paraId="61F8CA35">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95" w:type="dxa"/>
            <w:vAlign w:val="center"/>
          </w:tcPr>
          <w:p w14:paraId="30528A48">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7A2403B6">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r w14:paraId="41F5709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372AC7E0">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3446" w:type="dxa"/>
            <w:vAlign w:val="center"/>
          </w:tcPr>
          <w:p w14:paraId="6CD864F0">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2087" w:type="dxa"/>
            <w:vAlign w:val="center"/>
          </w:tcPr>
          <w:p w14:paraId="63B21059">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51" w:type="dxa"/>
            <w:vAlign w:val="center"/>
          </w:tcPr>
          <w:p w14:paraId="5FA1D97C">
            <w:pPr>
              <w:keepNext w:val="0"/>
              <w:keepLines w:val="0"/>
              <w:pageBreakBefore w:val="0"/>
              <w:widowControl/>
              <w:kinsoku/>
              <w:wordWrap/>
              <w:overflowPunct/>
              <w:topLinePunct w:val="0"/>
              <w:autoSpaceDE/>
              <w:autoSpaceDN/>
              <w:bidi w:val="0"/>
              <w:adjustRightInd w:val="0"/>
              <w:snapToGrid w:val="0"/>
              <w:spacing w:after="0" w:line="240" w:lineRule="auto"/>
              <w:jc w:val="center"/>
              <w:rPr>
                <w:rFonts w:asciiTheme="minorEastAsia" w:hAnsiTheme="minorEastAsia" w:eastAsiaTheme="minorEastAsia"/>
                <w:color w:val="auto"/>
                <w:sz w:val="24"/>
                <w:szCs w:val="24"/>
                <w:highlight w:val="none"/>
              </w:rPr>
            </w:pPr>
          </w:p>
        </w:tc>
        <w:tc>
          <w:tcPr>
            <w:tcW w:w="667" w:type="dxa"/>
            <w:vAlign w:val="center"/>
          </w:tcPr>
          <w:p w14:paraId="7D7BDF3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795" w:type="dxa"/>
            <w:vAlign w:val="center"/>
          </w:tcPr>
          <w:p w14:paraId="328F8652">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c>
          <w:tcPr>
            <w:tcW w:w="906" w:type="dxa"/>
            <w:vAlign w:val="center"/>
          </w:tcPr>
          <w:p w14:paraId="62C8CE40">
            <w:pPr>
              <w:keepNext w:val="0"/>
              <w:keepLines w:val="0"/>
              <w:pageBreakBefore w:val="0"/>
              <w:widowControl/>
              <w:kinsoku/>
              <w:wordWrap/>
              <w:overflowPunct/>
              <w:topLinePunct w:val="0"/>
              <w:autoSpaceDE/>
              <w:autoSpaceDN/>
              <w:bidi w:val="0"/>
              <w:adjustRightInd w:val="0"/>
              <w:snapToGrid w:val="0"/>
              <w:spacing w:after="0" w:line="240" w:lineRule="auto"/>
              <w:rPr>
                <w:rFonts w:asciiTheme="minorEastAsia" w:hAnsiTheme="minorEastAsia" w:eastAsiaTheme="minorEastAsia"/>
                <w:color w:val="auto"/>
                <w:sz w:val="24"/>
                <w:szCs w:val="24"/>
                <w:highlight w:val="none"/>
              </w:rPr>
            </w:pPr>
          </w:p>
        </w:tc>
      </w:tr>
    </w:tbl>
    <w:p w14:paraId="0076B5A0">
      <w:pPr>
        <w:pStyle w:val="54"/>
        <w:spacing w:before="0" w:after="0"/>
        <w:rPr>
          <w:rFonts w:asciiTheme="minorEastAsia" w:hAnsiTheme="minorEastAsia" w:eastAsiaTheme="minorEastAsia" w:cstheme="minorBidi"/>
          <w:b w:val="0"/>
          <w:bCs w:val="0"/>
          <w:strike/>
          <w:color w:val="auto"/>
          <w:kern w:val="0"/>
          <w:sz w:val="24"/>
          <w:szCs w:val="24"/>
          <w:highlight w:val="none"/>
        </w:rPr>
      </w:pPr>
    </w:p>
    <w:p w14:paraId="6F5A63F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5.2.2进口件清单（单台机组）</w:t>
      </w:r>
    </w:p>
    <w:tbl>
      <w:tblPr>
        <w:tblStyle w:val="58"/>
        <w:tblW w:w="8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598"/>
        <w:gridCol w:w="1373"/>
        <w:gridCol w:w="704"/>
        <w:gridCol w:w="793"/>
        <w:gridCol w:w="1145"/>
        <w:gridCol w:w="757"/>
      </w:tblGrid>
      <w:tr w14:paraId="129C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56" w:type="dxa"/>
            <w:vAlign w:val="center"/>
          </w:tcPr>
          <w:p w14:paraId="05405980">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2598" w:type="dxa"/>
            <w:vAlign w:val="center"/>
          </w:tcPr>
          <w:p w14:paraId="39DAB3D0">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名称</w:t>
            </w:r>
          </w:p>
        </w:tc>
        <w:tc>
          <w:tcPr>
            <w:tcW w:w="1373" w:type="dxa"/>
            <w:vAlign w:val="center"/>
          </w:tcPr>
          <w:p w14:paraId="7CA14AA1">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规格型号</w:t>
            </w:r>
          </w:p>
        </w:tc>
        <w:tc>
          <w:tcPr>
            <w:tcW w:w="704" w:type="dxa"/>
            <w:vAlign w:val="center"/>
          </w:tcPr>
          <w:p w14:paraId="7977CFF4">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单位</w:t>
            </w:r>
          </w:p>
        </w:tc>
        <w:tc>
          <w:tcPr>
            <w:tcW w:w="793" w:type="dxa"/>
            <w:vAlign w:val="center"/>
          </w:tcPr>
          <w:p w14:paraId="642386A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1145" w:type="dxa"/>
            <w:vAlign w:val="center"/>
          </w:tcPr>
          <w:p w14:paraId="48030153">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生产厂家</w:t>
            </w:r>
          </w:p>
        </w:tc>
        <w:tc>
          <w:tcPr>
            <w:tcW w:w="757" w:type="dxa"/>
            <w:vAlign w:val="center"/>
          </w:tcPr>
          <w:p w14:paraId="04679B8F">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5ACD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6" w:type="dxa"/>
            <w:vAlign w:val="center"/>
          </w:tcPr>
          <w:p w14:paraId="5D43411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2598" w:type="dxa"/>
            <w:vAlign w:val="center"/>
          </w:tcPr>
          <w:p w14:paraId="5A460728">
            <w:pPr>
              <w:spacing w:after="0" w:line="360" w:lineRule="auto"/>
              <w:jc w:val="center"/>
              <w:rPr>
                <w:rFonts w:asciiTheme="minorEastAsia" w:hAnsiTheme="minorEastAsia" w:eastAsiaTheme="minorEastAsia"/>
                <w:color w:val="auto"/>
                <w:sz w:val="24"/>
                <w:szCs w:val="24"/>
                <w:highlight w:val="none"/>
              </w:rPr>
            </w:pPr>
          </w:p>
        </w:tc>
        <w:tc>
          <w:tcPr>
            <w:tcW w:w="1373" w:type="dxa"/>
            <w:vAlign w:val="center"/>
          </w:tcPr>
          <w:p w14:paraId="6D39108A">
            <w:pPr>
              <w:spacing w:after="0" w:line="360" w:lineRule="auto"/>
              <w:rPr>
                <w:rFonts w:asciiTheme="minorEastAsia" w:hAnsiTheme="minorEastAsia" w:eastAsiaTheme="minorEastAsia"/>
                <w:color w:val="auto"/>
                <w:sz w:val="24"/>
                <w:szCs w:val="24"/>
                <w:highlight w:val="none"/>
              </w:rPr>
            </w:pPr>
          </w:p>
        </w:tc>
        <w:tc>
          <w:tcPr>
            <w:tcW w:w="704" w:type="dxa"/>
            <w:vAlign w:val="center"/>
          </w:tcPr>
          <w:p w14:paraId="6AD798B9">
            <w:pPr>
              <w:spacing w:after="0" w:line="360" w:lineRule="auto"/>
              <w:jc w:val="center"/>
              <w:rPr>
                <w:rFonts w:asciiTheme="minorEastAsia" w:hAnsiTheme="minorEastAsia" w:eastAsiaTheme="minorEastAsia"/>
                <w:color w:val="auto"/>
                <w:sz w:val="24"/>
                <w:szCs w:val="24"/>
                <w:highlight w:val="none"/>
              </w:rPr>
            </w:pPr>
          </w:p>
        </w:tc>
        <w:tc>
          <w:tcPr>
            <w:tcW w:w="793" w:type="dxa"/>
            <w:vAlign w:val="center"/>
          </w:tcPr>
          <w:p w14:paraId="596D0E45">
            <w:pPr>
              <w:spacing w:after="0" w:line="360" w:lineRule="auto"/>
              <w:rPr>
                <w:rFonts w:asciiTheme="minorEastAsia" w:hAnsiTheme="minorEastAsia" w:eastAsiaTheme="minorEastAsia"/>
                <w:color w:val="auto"/>
                <w:sz w:val="24"/>
                <w:szCs w:val="24"/>
                <w:highlight w:val="none"/>
              </w:rPr>
            </w:pPr>
          </w:p>
        </w:tc>
        <w:tc>
          <w:tcPr>
            <w:tcW w:w="1145" w:type="dxa"/>
            <w:vAlign w:val="center"/>
          </w:tcPr>
          <w:p w14:paraId="63A0ABF7">
            <w:pPr>
              <w:spacing w:after="0" w:line="360" w:lineRule="auto"/>
              <w:rPr>
                <w:rFonts w:asciiTheme="minorEastAsia" w:hAnsiTheme="minorEastAsia" w:eastAsiaTheme="minorEastAsia"/>
                <w:color w:val="auto"/>
                <w:sz w:val="24"/>
                <w:szCs w:val="24"/>
                <w:highlight w:val="none"/>
              </w:rPr>
            </w:pPr>
          </w:p>
        </w:tc>
        <w:tc>
          <w:tcPr>
            <w:tcW w:w="757" w:type="dxa"/>
            <w:vAlign w:val="center"/>
          </w:tcPr>
          <w:p w14:paraId="16BB8A24">
            <w:pPr>
              <w:spacing w:after="0" w:line="360" w:lineRule="auto"/>
              <w:jc w:val="center"/>
              <w:rPr>
                <w:rFonts w:asciiTheme="minorEastAsia" w:hAnsiTheme="minorEastAsia" w:eastAsiaTheme="minorEastAsia"/>
                <w:color w:val="auto"/>
                <w:sz w:val="24"/>
                <w:szCs w:val="24"/>
                <w:highlight w:val="none"/>
              </w:rPr>
            </w:pPr>
          </w:p>
        </w:tc>
      </w:tr>
      <w:tr w14:paraId="1989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6" w:type="dxa"/>
            <w:vAlign w:val="center"/>
          </w:tcPr>
          <w:p w14:paraId="335B8A3E">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2598" w:type="dxa"/>
            <w:vAlign w:val="center"/>
          </w:tcPr>
          <w:p w14:paraId="39AC98AA">
            <w:pPr>
              <w:spacing w:after="0" w:line="360" w:lineRule="auto"/>
              <w:jc w:val="center"/>
              <w:rPr>
                <w:rFonts w:asciiTheme="minorEastAsia" w:hAnsiTheme="minorEastAsia" w:eastAsiaTheme="minorEastAsia"/>
                <w:color w:val="auto"/>
                <w:sz w:val="24"/>
                <w:szCs w:val="24"/>
                <w:highlight w:val="none"/>
              </w:rPr>
            </w:pPr>
          </w:p>
        </w:tc>
        <w:tc>
          <w:tcPr>
            <w:tcW w:w="1373" w:type="dxa"/>
            <w:vAlign w:val="center"/>
          </w:tcPr>
          <w:p w14:paraId="3A867CB0">
            <w:pPr>
              <w:spacing w:after="0" w:line="360" w:lineRule="auto"/>
              <w:rPr>
                <w:rFonts w:asciiTheme="minorEastAsia" w:hAnsiTheme="minorEastAsia" w:eastAsiaTheme="minorEastAsia"/>
                <w:color w:val="auto"/>
                <w:sz w:val="24"/>
                <w:szCs w:val="24"/>
                <w:highlight w:val="none"/>
              </w:rPr>
            </w:pPr>
          </w:p>
        </w:tc>
        <w:tc>
          <w:tcPr>
            <w:tcW w:w="704" w:type="dxa"/>
            <w:vAlign w:val="center"/>
          </w:tcPr>
          <w:p w14:paraId="4EF3770C">
            <w:pPr>
              <w:spacing w:after="0" w:line="360" w:lineRule="auto"/>
              <w:jc w:val="center"/>
              <w:rPr>
                <w:rFonts w:asciiTheme="minorEastAsia" w:hAnsiTheme="minorEastAsia" w:eastAsiaTheme="minorEastAsia"/>
                <w:color w:val="auto"/>
                <w:sz w:val="24"/>
                <w:szCs w:val="24"/>
                <w:highlight w:val="none"/>
              </w:rPr>
            </w:pPr>
          </w:p>
        </w:tc>
        <w:tc>
          <w:tcPr>
            <w:tcW w:w="793" w:type="dxa"/>
            <w:vAlign w:val="center"/>
          </w:tcPr>
          <w:p w14:paraId="3EBB8358">
            <w:pPr>
              <w:spacing w:after="0" w:line="360" w:lineRule="auto"/>
              <w:rPr>
                <w:rFonts w:asciiTheme="minorEastAsia" w:hAnsiTheme="minorEastAsia" w:eastAsiaTheme="minorEastAsia"/>
                <w:color w:val="auto"/>
                <w:sz w:val="24"/>
                <w:szCs w:val="24"/>
                <w:highlight w:val="none"/>
              </w:rPr>
            </w:pPr>
          </w:p>
        </w:tc>
        <w:tc>
          <w:tcPr>
            <w:tcW w:w="1145" w:type="dxa"/>
            <w:vAlign w:val="center"/>
          </w:tcPr>
          <w:p w14:paraId="2AF6A053">
            <w:pPr>
              <w:spacing w:after="0" w:line="360" w:lineRule="auto"/>
              <w:rPr>
                <w:rFonts w:asciiTheme="minorEastAsia" w:hAnsiTheme="minorEastAsia" w:eastAsiaTheme="minorEastAsia"/>
                <w:color w:val="auto"/>
                <w:sz w:val="24"/>
                <w:szCs w:val="24"/>
                <w:highlight w:val="none"/>
              </w:rPr>
            </w:pPr>
          </w:p>
        </w:tc>
        <w:tc>
          <w:tcPr>
            <w:tcW w:w="757" w:type="dxa"/>
            <w:vAlign w:val="center"/>
          </w:tcPr>
          <w:p w14:paraId="15C1D20A">
            <w:pPr>
              <w:spacing w:after="0" w:line="360" w:lineRule="auto"/>
              <w:jc w:val="center"/>
              <w:rPr>
                <w:rFonts w:asciiTheme="minorEastAsia" w:hAnsiTheme="minorEastAsia" w:eastAsiaTheme="minorEastAsia"/>
                <w:color w:val="auto"/>
                <w:sz w:val="24"/>
                <w:szCs w:val="24"/>
                <w:highlight w:val="none"/>
              </w:rPr>
            </w:pPr>
          </w:p>
        </w:tc>
      </w:tr>
    </w:tbl>
    <w:p w14:paraId="3B3DC7C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5.2.3分包与外购（单台机组）</w:t>
      </w:r>
    </w:p>
    <w:tbl>
      <w:tblPr>
        <w:tblStyle w:val="58"/>
        <w:tblW w:w="77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25"/>
        <w:gridCol w:w="1429"/>
        <w:gridCol w:w="1212"/>
        <w:gridCol w:w="884"/>
        <w:gridCol w:w="1055"/>
        <w:gridCol w:w="1138"/>
        <w:gridCol w:w="1326"/>
      </w:tblGrid>
      <w:tr w14:paraId="4B8BC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725" w:type="dxa"/>
            <w:vAlign w:val="center"/>
          </w:tcPr>
          <w:p w14:paraId="127C200C">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1429" w:type="dxa"/>
            <w:vAlign w:val="center"/>
          </w:tcPr>
          <w:p w14:paraId="67CBBDF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设备名称</w:t>
            </w:r>
          </w:p>
        </w:tc>
        <w:tc>
          <w:tcPr>
            <w:tcW w:w="1212" w:type="dxa"/>
            <w:vAlign w:val="center"/>
          </w:tcPr>
          <w:p w14:paraId="603F00FD">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型号</w:t>
            </w:r>
          </w:p>
        </w:tc>
        <w:tc>
          <w:tcPr>
            <w:tcW w:w="884" w:type="dxa"/>
            <w:vAlign w:val="center"/>
          </w:tcPr>
          <w:p w14:paraId="0E5306A5">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1055" w:type="dxa"/>
            <w:vAlign w:val="center"/>
          </w:tcPr>
          <w:p w14:paraId="3F05AD1E">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分包商名称</w:t>
            </w:r>
          </w:p>
        </w:tc>
        <w:tc>
          <w:tcPr>
            <w:tcW w:w="1138" w:type="dxa"/>
            <w:vAlign w:val="center"/>
          </w:tcPr>
          <w:p w14:paraId="4264E4B7">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设备产地</w:t>
            </w:r>
          </w:p>
        </w:tc>
        <w:tc>
          <w:tcPr>
            <w:tcW w:w="1326" w:type="dxa"/>
            <w:vAlign w:val="center"/>
          </w:tcPr>
          <w:p w14:paraId="40FA527F">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3F6D7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725" w:type="dxa"/>
            <w:vAlign w:val="center"/>
          </w:tcPr>
          <w:p w14:paraId="18335BD8">
            <w:pPr>
              <w:spacing w:after="0" w:line="360" w:lineRule="auto"/>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w:t>
            </w:r>
          </w:p>
        </w:tc>
        <w:tc>
          <w:tcPr>
            <w:tcW w:w="1429" w:type="dxa"/>
            <w:vAlign w:val="center"/>
          </w:tcPr>
          <w:p w14:paraId="2C7AD79F">
            <w:pPr>
              <w:spacing w:after="0" w:line="360" w:lineRule="auto"/>
              <w:jc w:val="center"/>
              <w:rPr>
                <w:rFonts w:asciiTheme="minorEastAsia" w:hAnsiTheme="minorEastAsia" w:eastAsiaTheme="minorEastAsia"/>
                <w:color w:val="auto"/>
                <w:sz w:val="24"/>
                <w:szCs w:val="24"/>
                <w:highlight w:val="none"/>
              </w:rPr>
            </w:pPr>
          </w:p>
        </w:tc>
        <w:tc>
          <w:tcPr>
            <w:tcW w:w="1212" w:type="dxa"/>
            <w:vAlign w:val="center"/>
          </w:tcPr>
          <w:p w14:paraId="5EDAF7CD">
            <w:pPr>
              <w:spacing w:after="0" w:line="360" w:lineRule="auto"/>
              <w:rPr>
                <w:rFonts w:asciiTheme="minorEastAsia" w:hAnsiTheme="minorEastAsia" w:eastAsiaTheme="minorEastAsia"/>
                <w:color w:val="auto"/>
                <w:sz w:val="24"/>
                <w:szCs w:val="24"/>
                <w:highlight w:val="none"/>
              </w:rPr>
            </w:pPr>
          </w:p>
        </w:tc>
        <w:tc>
          <w:tcPr>
            <w:tcW w:w="884" w:type="dxa"/>
            <w:vAlign w:val="center"/>
          </w:tcPr>
          <w:p w14:paraId="1EB9DFC8">
            <w:pPr>
              <w:spacing w:after="0" w:line="360" w:lineRule="auto"/>
              <w:rPr>
                <w:rFonts w:asciiTheme="minorEastAsia" w:hAnsiTheme="minorEastAsia" w:eastAsiaTheme="minorEastAsia"/>
                <w:color w:val="auto"/>
                <w:sz w:val="24"/>
                <w:szCs w:val="24"/>
                <w:highlight w:val="none"/>
              </w:rPr>
            </w:pPr>
          </w:p>
        </w:tc>
        <w:tc>
          <w:tcPr>
            <w:tcW w:w="1055" w:type="dxa"/>
            <w:vAlign w:val="center"/>
          </w:tcPr>
          <w:p w14:paraId="02D58881">
            <w:pPr>
              <w:spacing w:after="0" w:line="360" w:lineRule="auto"/>
              <w:rPr>
                <w:rFonts w:asciiTheme="minorEastAsia" w:hAnsiTheme="minorEastAsia" w:eastAsiaTheme="minorEastAsia"/>
                <w:color w:val="auto"/>
                <w:sz w:val="24"/>
                <w:szCs w:val="24"/>
                <w:highlight w:val="none"/>
              </w:rPr>
            </w:pPr>
          </w:p>
        </w:tc>
        <w:tc>
          <w:tcPr>
            <w:tcW w:w="1138" w:type="dxa"/>
            <w:vAlign w:val="center"/>
          </w:tcPr>
          <w:p w14:paraId="7B23C9D1">
            <w:pPr>
              <w:spacing w:after="0" w:line="360" w:lineRule="auto"/>
              <w:rPr>
                <w:rFonts w:asciiTheme="minorEastAsia" w:hAnsiTheme="minorEastAsia" w:eastAsiaTheme="minorEastAsia"/>
                <w:color w:val="auto"/>
                <w:sz w:val="24"/>
                <w:szCs w:val="24"/>
                <w:highlight w:val="none"/>
              </w:rPr>
            </w:pPr>
          </w:p>
        </w:tc>
        <w:tc>
          <w:tcPr>
            <w:tcW w:w="1326" w:type="dxa"/>
            <w:vAlign w:val="center"/>
          </w:tcPr>
          <w:p w14:paraId="54F2445D">
            <w:pPr>
              <w:spacing w:after="0" w:line="360" w:lineRule="auto"/>
              <w:jc w:val="center"/>
              <w:rPr>
                <w:rFonts w:asciiTheme="minorEastAsia" w:hAnsiTheme="minorEastAsia" w:eastAsiaTheme="minorEastAsia"/>
                <w:color w:val="auto"/>
                <w:sz w:val="24"/>
                <w:szCs w:val="24"/>
                <w:highlight w:val="none"/>
              </w:rPr>
            </w:pPr>
          </w:p>
        </w:tc>
      </w:tr>
      <w:tr w14:paraId="22F8E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63" w:hRule="atLeast"/>
          <w:jc w:val="center"/>
        </w:trPr>
        <w:tc>
          <w:tcPr>
            <w:tcW w:w="725" w:type="dxa"/>
            <w:vAlign w:val="center"/>
          </w:tcPr>
          <w:p w14:paraId="3CFA712D">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1429" w:type="dxa"/>
            <w:vAlign w:val="center"/>
          </w:tcPr>
          <w:p w14:paraId="37DBAE8A">
            <w:pPr>
              <w:spacing w:after="0" w:line="360" w:lineRule="auto"/>
              <w:jc w:val="center"/>
              <w:rPr>
                <w:rFonts w:asciiTheme="minorEastAsia" w:hAnsiTheme="minorEastAsia" w:eastAsiaTheme="minorEastAsia"/>
                <w:color w:val="auto"/>
                <w:sz w:val="24"/>
                <w:szCs w:val="24"/>
                <w:highlight w:val="none"/>
              </w:rPr>
            </w:pPr>
          </w:p>
        </w:tc>
        <w:tc>
          <w:tcPr>
            <w:tcW w:w="1212" w:type="dxa"/>
            <w:vAlign w:val="center"/>
          </w:tcPr>
          <w:p w14:paraId="4C68754D">
            <w:pPr>
              <w:spacing w:after="0" w:line="360" w:lineRule="auto"/>
              <w:rPr>
                <w:rFonts w:asciiTheme="minorEastAsia" w:hAnsiTheme="minorEastAsia" w:eastAsiaTheme="minorEastAsia"/>
                <w:color w:val="auto"/>
                <w:sz w:val="24"/>
                <w:szCs w:val="24"/>
                <w:highlight w:val="none"/>
              </w:rPr>
            </w:pPr>
          </w:p>
        </w:tc>
        <w:tc>
          <w:tcPr>
            <w:tcW w:w="884" w:type="dxa"/>
            <w:vAlign w:val="center"/>
          </w:tcPr>
          <w:p w14:paraId="1D24E00D">
            <w:pPr>
              <w:spacing w:after="0" w:line="360" w:lineRule="auto"/>
              <w:rPr>
                <w:rFonts w:asciiTheme="minorEastAsia" w:hAnsiTheme="minorEastAsia" w:eastAsiaTheme="minorEastAsia"/>
                <w:color w:val="auto"/>
                <w:sz w:val="24"/>
                <w:szCs w:val="24"/>
                <w:highlight w:val="none"/>
              </w:rPr>
            </w:pPr>
          </w:p>
        </w:tc>
        <w:tc>
          <w:tcPr>
            <w:tcW w:w="1055" w:type="dxa"/>
            <w:vAlign w:val="center"/>
          </w:tcPr>
          <w:p w14:paraId="76E79972">
            <w:pPr>
              <w:spacing w:after="0" w:line="360" w:lineRule="auto"/>
              <w:rPr>
                <w:rFonts w:asciiTheme="minorEastAsia" w:hAnsiTheme="minorEastAsia" w:eastAsiaTheme="minorEastAsia"/>
                <w:color w:val="auto"/>
                <w:sz w:val="24"/>
                <w:szCs w:val="24"/>
                <w:highlight w:val="none"/>
              </w:rPr>
            </w:pPr>
          </w:p>
        </w:tc>
        <w:tc>
          <w:tcPr>
            <w:tcW w:w="1138" w:type="dxa"/>
            <w:vAlign w:val="center"/>
          </w:tcPr>
          <w:p w14:paraId="148994D6">
            <w:pPr>
              <w:spacing w:after="0" w:line="360" w:lineRule="auto"/>
              <w:rPr>
                <w:rFonts w:asciiTheme="minorEastAsia" w:hAnsiTheme="minorEastAsia" w:eastAsiaTheme="minorEastAsia"/>
                <w:color w:val="auto"/>
                <w:sz w:val="24"/>
                <w:szCs w:val="24"/>
                <w:highlight w:val="none"/>
              </w:rPr>
            </w:pPr>
          </w:p>
        </w:tc>
        <w:tc>
          <w:tcPr>
            <w:tcW w:w="1326" w:type="dxa"/>
            <w:vAlign w:val="center"/>
          </w:tcPr>
          <w:p w14:paraId="08551A86">
            <w:pPr>
              <w:spacing w:after="0" w:line="360" w:lineRule="auto"/>
              <w:jc w:val="center"/>
              <w:rPr>
                <w:rFonts w:asciiTheme="minorEastAsia" w:hAnsiTheme="minorEastAsia" w:eastAsiaTheme="minorEastAsia"/>
                <w:color w:val="auto"/>
                <w:sz w:val="24"/>
                <w:szCs w:val="24"/>
                <w:highlight w:val="none"/>
              </w:rPr>
            </w:pPr>
          </w:p>
        </w:tc>
      </w:tr>
    </w:tbl>
    <w:p w14:paraId="5FBC17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5.2.4 专用工具 </w:t>
      </w:r>
    </w:p>
    <w:tbl>
      <w:tblPr>
        <w:tblStyle w:val="58"/>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453"/>
        <w:gridCol w:w="1420"/>
        <w:gridCol w:w="823"/>
        <w:gridCol w:w="1835"/>
        <w:gridCol w:w="1080"/>
      </w:tblGrid>
      <w:tr w14:paraId="714D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Borders>
              <w:top w:val="single" w:color="auto" w:sz="4" w:space="0"/>
              <w:left w:val="single" w:color="auto" w:sz="4" w:space="0"/>
              <w:bottom w:val="single" w:color="auto" w:sz="4" w:space="0"/>
              <w:right w:val="single" w:color="auto" w:sz="4" w:space="0"/>
            </w:tcBorders>
          </w:tcPr>
          <w:p w14:paraId="447B545F">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2453" w:type="dxa"/>
            <w:tcBorders>
              <w:top w:val="single" w:color="auto" w:sz="4" w:space="0"/>
              <w:left w:val="single" w:color="auto" w:sz="4" w:space="0"/>
              <w:bottom w:val="single" w:color="auto" w:sz="4" w:space="0"/>
              <w:right w:val="single" w:color="auto" w:sz="4" w:space="0"/>
            </w:tcBorders>
            <w:vAlign w:val="center"/>
          </w:tcPr>
          <w:p w14:paraId="2B310A9C">
            <w:pPr>
              <w:spacing w:line="4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专用工具名称</w:t>
            </w:r>
          </w:p>
        </w:tc>
        <w:tc>
          <w:tcPr>
            <w:tcW w:w="1420" w:type="dxa"/>
            <w:tcBorders>
              <w:top w:val="single" w:color="auto" w:sz="4" w:space="0"/>
              <w:left w:val="single" w:color="auto" w:sz="4" w:space="0"/>
              <w:bottom w:val="single" w:color="auto" w:sz="4" w:space="0"/>
              <w:right w:val="single" w:color="auto" w:sz="4" w:space="0"/>
            </w:tcBorders>
            <w:vAlign w:val="center"/>
          </w:tcPr>
          <w:p w14:paraId="5B2FCDE3">
            <w:pPr>
              <w:spacing w:line="480" w:lineRule="exact"/>
              <w:ind w:firstLine="8"/>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型号</w:t>
            </w:r>
          </w:p>
        </w:tc>
        <w:tc>
          <w:tcPr>
            <w:tcW w:w="823" w:type="dxa"/>
            <w:tcBorders>
              <w:top w:val="single" w:color="auto" w:sz="4" w:space="0"/>
              <w:left w:val="single" w:color="auto" w:sz="4" w:space="0"/>
              <w:bottom w:val="single" w:color="auto" w:sz="4" w:space="0"/>
              <w:right w:val="single" w:color="auto" w:sz="4" w:space="0"/>
            </w:tcBorders>
            <w:vAlign w:val="center"/>
          </w:tcPr>
          <w:p w14:paraId="2E4ED51A">
            <w:pPr>
              <w:spacing w:line="480" w:lineRule="exact"/>
              <w:ind w:firstLine="6"/>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1835" w:type="dxa"/>
            <w:tcBorders>
              <w:top w:val="single" w:color="auto" w:sz="4" w:space="0"/>
              <w:left w:val="single" w:color="auto" w:sz="4" w:space="0"/>
              <w:bottom w:val="single" w:color="auto" w:sz="4" w:space="0"/>
              <w:right w:val="single" w:color="auto" w:sz="4" w:space="0"/>
            </w:tcBorders>
          </w:tcPr>
          <w:p w14:paraId="1226D850">
            <w:pPr>
              <w:spacing w:line="480" w:lineRule="exact"/>
              <w:ind w:firstLine="3"/>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产地/制造厂名</w:t>
            </w:r>
          </w:p>
        </w:tc>
        <w:tc>
          <w:tcPr>
            <w:tcW w:w="1080" w:type="dxa"/>
            <w:tcBorders>
              <w:top w:val="single" w:color="auto" w:sz="4" w:space="0"/>
              <w:left w:val="single" w:color="auto" w:sz="4" w:space="0"/>
              <w:bottom w:val="single" w:color="auto" w:sz="4" w:space="0"/>
              <w:right w:val="single" w:color="auto" w:sz="4" w:space="0"/>
            </w:tcBorders>
            <w:vAlign w:val="center"/>
          </w:tcPr>
          <w:p w14:paraId="44D5AF89">
            <w:pPr>
              <w:spacing w:line="480" w:lineRule="exact"/>
              <w:ind w:hanging="3"/>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1507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Borders>
              <w:top w:val="single" w:color="auto" w:sz="4" w:space="0"/>
              <w:left w:val="single" w:color="auto" w:sz="4" w:space="0"/>
              <w:bottom w:val="single" w:color="auto" w:sz="4" w:space="0"/>
              <w:right w:val="single" w:color="auto" w:sz="4" w:space="0"/>
            </w:tcBorders>
            <w:vAlign w:val="center"/>
          </w:tcPr>
          <w:p w14:paraId="4BAC52A5">
            <w:pPr>
              <w:spacing w:line="48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2453" w:type="dxa"/>
            <w:tcBorders>
              <w:top w:val="single" w:color="auto" w:sz="4" w:space="0"/>
              <w:left w:val="single" w:color="auto" w:sz="4" w:space="0"/>
              <w:bottom w:val="single" w:color="auto" w:sz="4" w:space="0"/>
              <w:right w:val="single" w:color="auto" w:sz="4" w:space="0"/>
            </w:tcBorders>
          </w:tcPr>
          <w:p w14:paraId="285DCC05">
            <w:pPr>
              <w:spacing w:line="480" w:lineRule="exact"/>
              <w:rPr>
                <w:rFonts w:asciiTheme="minorEastAsia" w:hAnsiTheme="minorEastAsia" w:eastAsiaTheme="minorEastAsia"/>
                <w:color w:val="auto"/>
                <w:sz w:val="24"/>
                <w:szCs w:val="24"/>
                <w:highlight w:val="none"/>
              </w:rPr>
            </w:pPr>
          </w:p>
        </w:tc>
        <w:tc>
          <w:tcPr>
            <w:tcW w:w="1420" w:type="dxa"/>
            <w:tcBorders>
              <w:top w:val="single" w:color="auto" w:sz="4" w:space="0"/>
              <w:left w:val="single" w:color="auto" w:sz="4" w:space="0"/>
              <w:bottom w:val="single" w:color="auto" w:sz="4" w:space="0"/>
              <w:right w:val="single" w:color="auto" w:sz="4" w:space="0"/>
            </w:tcBorders>
          </w:tcPr>
          <w:p w14:paraId="198AD8B1">
            <w:pPr>
              <w:spacing w:line="480" w:lineRule="exact"/>
              <w:rPr>
                <w:rFonts w:asciiTheme="minorEastAsia" w:hAnsiTheme="minorEastAsia" w:eastAsiaTheme="minorEastAsia"/>
                <w:color w:val="auto"/>
                <w:sz w:val="24"/>
                <w:szCs w:val="24"/>
                <w:highlight w:val="none"/>
              </w:rPr>
            </w:pPr>
          </w:p>
        </w:tc>
        <w:tc>
          <w:tcPr>
            <w:tcW w:w="823" w:type="dxa"/>
            <w:tcBorders>
              <w:top w:val="single" w:color="auto" w:sz="4" w:space="0"/>
              <w:left w:val="single" w:color="auto" w:sz="4" w:space="0"/>
              <w:bottom w:val="single" w:color="auto" w:sz="4" w:space="0"/>
              <w:right w:val="single" w:color="auto" w:sz="4" w:space="0"/>
            </w:tcBorders>
          </w:tcPr>
          <w:p w14:paraId="4650830E">
            <w:pPr>
              <w:spacing w:line="480" w:lineRule="exact"/>
              <w:rPr>
                <w:rFonts w:asciiTheme="minorEastAsia" w:hAnsiTheme="minorEastAsia" w:eastAsiaTheme="minorEastAsia"/>
                <w:color w:val="auto"/>
                <w:sz w:val="24"/>
                <w:szCs w:val="24"/>
                <w:highlight w:val="none"/>
              </w:rPr>
            </w:pPr>
          </w:p>
        </w:tc>
        <w:tc>
          <w:tcPr>
            <w:tcW w:w="1835" w:type="dxa"/>
            <w:tcBorders>
              <w:top w:val="single" w:color="auto" w:sz="4" w:space="0"/>
              <w:left w:val="single" w:color="auto" w:sz="4" w:space="0"/>
              <w:bottom w:val="single" w:color="auto" w:sz="4" w:space="0"/>
              <w:right w:val="single" w:color="auto" w:sz="4" w:space="0"/>
            </w:tcBorders>
          </w:tcPr>
          <w:p w14:paraId="18D3600A">
            <w:pPr>
              <w:pStyle w:val="141"/>
              <w:spacing w:line="480" w:lineRule="exact"/>
              <w:jc w:val="both"/>
              <w:rPr>
                <w:rFonts w:asciiTheme="minorEastAsia" w:hAnsiTheme="minorEastAsia" w:eastAsiaTheme="minorEastAsia" w:cstheme="minorBidi"/>
                <w:color w:val="auto"/>
                <w:szCs w:val="24"/>
                <w:highlight w:val="none"/>
              </w:rPr>
            </w:pPr>
          </w:p>
        </w:tc>
        <w:tc>
          <w:tcPr>
            <w:tcW w:w="1080" w:type="dxa"/>
            <w:tcBorders>
              <w:top w:val="single" w:color="auto" w:sz="4" w:space="0"/>
              <w:left w:val="single" w:color="auto" w:sz="4" w:space="0"/>
              <w:bottom w:val="single" w:color="auto" w:sz="4" w:space="0"/>
              <w:right w:val="single" w:color="auto" w:sz="4" w:space="0"/>
            </w:tcBorders>
          </w:tcPr>
          <w:p w14:paraId="4F0E15A6">
            <w:pPr>
              <w:pStyle w:val="141"/>
              <w:spacing w:line="480" w:lineRule="exact"/>
              <w:ind w:firstLine="482"/>
              <w:rPr>
                <w:rFonts w:asciiTheme="minorEastAsia" w:hAnsiTheme="minorEastAsia" w:eastAsiaTheme="minorEastAsia" w:cstheme="minorBidi"/>
                <w:color w:val="auto"/>
                <w:szCs w:val="24"/>
                <w:highlight w:val="none"/>
              </w:rPr>
            </w:pPr>
          </w:p>
        </w:tc>
      </w:tr>
    </w:tbl>
    <w:p w14:paraId="4FC64A2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5.2.5 随机备品备件</w:t>
      </w:r>
    </w:p>
    <w:tbl>
      <w:tblPr>
        <w:tblStyle w:val="58"/>
        <w:tblW w:w="8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32"/>
        <w:gridCol w:w="1417"/>
        <w:gridCol w:w="851"/>
        <w:gridCol w:w="2076"/>
        <w:gridCol w:w="1011"/>
      </w:tblGrid>
      <w:tr w14:paraId="06BA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1F9486EE">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2032" w:type="dxa"/>
            <w:tcBorders>
              <w:top w:val="single" w:color="auto" w:sz="4" w:space="0"/>
              <w:left w:val="single" w:color="auto" w:sz="4" w:space="0"/>
              <w:bottom w:val="single" w:color="auto" w:sz="4" w:space="0"/>
              <w:right w:val="single" w:color="auto" w:sz="4" w:space="0"/>
            </w:tcBorders>
            <w:vAlign w:val="center"/>
          </w:tcPr>
          <w:p w14:paraId="7B65075D">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备品、备件名称</w:t>
            </w:r>
          </w:p>
        </w:tc>
        <w:tc>
          <w:tcPr>
            <w:tcW w:w="1417" w:type="dxa"/>
            <w:tcBorders>
              <w:top w:val="single" w:color="auto" w:sz="4" w:space="0"/>
              <w:left w:val="single" w:color="auto" w:sz="4" w:space="0"/>
              <w:bottom w:val="single" w:color="auto" w:sz="4" w:space="0"/>
              <w:right w:val="single" w:color="auto" w:sz="4" w:space="0"/>
            </w:tcBorders>
            <w:vAlign w:val="center"/>
          </w:tcPr>
          <w:p w14:paraId="653B4820">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型号</w:t>
            </w:r>
          </w:p>
        </w:tc>
        <w:tc>
          <w:tcPr>
            <w:tcW w:w="851" w:type="dxa"/>
            <w:tcBorders>
              <w:top w:val="single" w:color="auto" w:sz="4" w:space="0"/>
              <w:left w:val="single" w:color="auto" w:sz="4" w:space="0"/>
              <w:bottom w:val="single" w:color="auto" w:sz="4" w:space="0"/>
              <w:right w:val="single" w:color="auto" w:sz="4" w:space="0"/>
            </w:tcBorders>
            <w:vAlign w:val="center"/>
          </w:tcPr>
          <w:p w14:paraId="040EC58F">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数量</w:t>
            </w:r>
          </w:p>
        </w:tc>
        <w:tc>
          <w:tcPr>
            <w:tcW w:w="2076" w:type="dxa"/>
            <w:tcBorders>
              <w:top w:val="single" w:color="auto" w:sz="4" w:space="0"/>
              <w:left w:val="single" w:color="auto" w:sz="4" w:space="0"/>
              <w:bottom w:val="single" w:color="auto" w:sz="4" w:space="0"/>
              <w:right w:val="single" w:color="auto" w:sz="4" w:space="0"/>
            </w:tcBorders>
          </w:tcPr>
          <w:p w14:paraId="5916928F">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产地/制造厂名</w:t>
            </w:r>
          </w:p>
        </w:tc>
        <w:tc>
          <w:tcPr>
            <w:tcW w:w="1011" w:type="dxa"/>
            <w:tcBorders>
              <w:top w:val="single" w:color="auto" w:sz="4" w:space="0"/>
              <w:left w:val="single" w:color="auto" w:sz="4" w:space="0"/>
              <w:bottom w:val="single" w:color="auto" w:sz="4" w:space="0"/>
              <w:right w:val="single" w:color="auto" w:sz="4" w:space="0"/>
            </w:tcBorders>
            <w:vAlign w:val="center"/>
          </w:tcPr>
          <w:p w14:paraId="6941BD75">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0488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09FA12A5">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2032" w:type="dxa"/>
            <w:tcBorders>
              <w:top w:val="single" w:color="auto" w:sz="4" w:space="0"/>
              <w:left w:val="single" w:color="auto" w:sz="4" w:space="0"/>
              <w:bottom w:val="single" w:color="auto" w:sz="4" w:space="0"/>
              <w:right w:val="single" w:color="auto" w:sz="4" w:space="0"/>
            </w:tcBorders>
            <w:vAlign w:val="center"/>
          </w:tcPr>
          <w:p w14:paraId="4CB6570B">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Cs w:val="24"/>
                <w:highlight w:val="none"/>
              </w:rPr>
              <w:t>智能I/O采集前端</w:t>
            </w:r>
          </w:p>
        </w:tc>
        <w:tc>
          <w:tcPr>
            <w:tcW w:w="1417" w:type="dxa"/>
            <w:tcBorders>
              <w:top w:val="single" w:color="auto" w:sz="4" w:space="0"/>
              <w:left w:val="single" w:color="auto" w:sz="4" w:space="0"/>
              <w:bottom w:val="single" w:color="auto" w:sz="4" w:space="0"/>
              <w:right w:val="single" w:color="auto" w:sz="4" w:space="0"/>
            </w:tcBorders>
            <w:vAlign w:val="center"/>
          </w:tcPr>
          <w:p w14:paraId="4BCC60E4">
            <w:pPr>
              <w:spacing w:line="480" w:lineRule="exact"/>
              <w:ind w:firstLine="29"/>
              <w:rPr>
                <w:rFonts w:asciiTheme="minorEastAsia" w:hAnsiTheme="minorEastAsia" w:eastAsiaTheme="minorEastAsia"/>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0C3C4B05">
            <w:pPr>
              <w:spacing w:line="480" w:lineRule="exact"/>
              <w:ind w:firstLine="29"/>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1</w:t>
            </w:r>
          </w:p>
        </w:tc>
        <w:tc>
          <w:tcPr>
            <w:tcW w:w="2076" w:type="dxa"/>
            <w:tcBorders>
              <w:top w:val="single" w:color="auto" w:sz="4" w:space="0"/>
              <w:left w:val="single" w:color="auto" w:sz="4" w:space="0"/>
              <w:bottom w:val="single" w:color="auto" w:sz="4" w:space="0"/>
              <w:right w:val="single" w:color="auto" w:sz="4" w:space="0"/>
            </w:tcBorders>
            <w:vAlign w:val="center"/>
          </w:tcPr>
          <w:p w14:paraId="72B6001F">
            <w:pPr>
              <w:spacing w:line="480" w:lineRule="exact"/>
              <w:ind w:firstLine="29"/>
              <w:rPr>
                <w:rFonts w:asciiTheme="minorEastAsia" w:hAnsiTheme="minorEastAsia" w:eastAsiaTheme="minorEastAsia"/>
                <w:color w:val="auto"/>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14:paraId="4F865321">
            <w:pPr>
              <w:spacing w:line="480" w:lineRule="exact"/>
              <w:ind w:firstLine="29"/>
              <w:rPr>
                <w:rFonts w:asciiTheme="minorEastAsia" w:hAnsiTheme="minorEastAsia" w:eastAsiaTheme="minorEastAsia"/>
                <w:color w:val="auto"/>
                <w:sz w:val="24"/>
                <w:szCs w:val="24"/>
                <w:highlight w:val="none"/>
              </w:rPr>
            </w:pPr>
          </w:p>
        </w:tc>
      </w:tr>
      <w:tr w14:paraId="79E8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5324DD1D">
            <w:pPr>
              <w:spacing w:line="480" w:lineRule="exact"/>
              <w:ind w:firstLine="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2032" w:type="dxa"/>
            <w:tcBorders>
              <w:top w:val="single" w:color="auto" w:sz="4" w:space="0"/>
              <w:left w:val="single" w:color="auto" w:sz="4" w:space="0"/>
              <w:bottom w:val="single" w:color="auto" w:sz="4" w:space="0"/>
              <w:right w:val="single" w:color="auto" w:sz="4" w:space="0"/>
            </w:tcBorders>
            <w:vAlign w:val="center"/>
          </w:tcPr>
          <w:p w14:paraId="4C7B1905">
            <w:pPr>
              <w:spacing w:line="480" w:lineRule="exact"/>
              <w:ind w:firstLine="29"/>
              <w:rPr>
                <w:rFonts w:asciiTheme="minorEastAsia" w:hAnsiTheme="minorEastAsia" w:eastAsiaTheme="minorEastAsia"/>
                <w:color w:val="auto"/>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A17FD8C">
            <w:pPr>
              <w:spacing w:line="480" w:lineRule="exact"/>
              <w:ind w:firstLine="29"/>
              <w:rPr>
                <w:rFonts w:asciiTheme="minorEastAsia" w:hAnsiTheme="minorEastAsia" w:eastAsiaTheme="minorEastAsia"/>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192FFF3B">
            <w:pPr>
              <w:spacing w:line="480" w:lineRule="exact"/>
              <w:ind w:firstLine="29"/>
              <w:rPr>
                <w:rFonts w:asciiTheme="minorEastAsia" w:hAnsiTheme="minorEastAsia" w:eastAsiaTheme="minorEastAsia"/>
                <w:color w:val="auto"/>
                <w:sz w:val="24"/>
                <w:szCs w:val="24"/>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651BE4B">
            <w:pPr>
              <w:spacing w:line="480" w:lineRule="exact"/>
              <w:ind w:firstLine="29"/>
              <w:rPr>
                <w:rFonts w:asciiTheme="minorEastAsia" w:hAnsiTheme="minorEastAsia" w:eastAsiaTheme="minorEastAsia"/>
                <w:color w:val="auto"/>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14:paraId="3601BA12">
            <w:pPr>
              <w:spacing w:line="480" w:lineRule="exact"/>
              <w:ind w:firstLine="29"/>
              <w:rPr>
                <w:rFonts w:asciiTheme="minorEastAsia" w:hAnsiTheme="minorEastAsia" w:eastAsiaTheme="minorEastAsia"/>
                <w:color w:val="auto"/>
                <w:sz w:val="24"/>
                <w:szCs w:val="24"/>
                <w:highlight w:val="none"/>
              </w:rPr>
            </w:pPr>
          </w:p>
        </w:tc>
      </w:tr>
    </w:tbl>
    <w:p w14:paraId="5E4DE9B4">
      <w:pPr>
        <w:spacing w:after="0" w:line="360" w:lineRule="auto"/>
        <w:rPr>
          <w:rFonts w:asciiTheme="minorEastAsia" w:hAnsiTheme="minorEastAsia" w:eastAsiaTheme="minorEastAsia"/>
          <w:color w:val="auto"/>
          <w:sz w:val="24"/>
          <w:szCs w:val="24"/>
          <w:highlight w:val="none"/>
        </w:rPr>
      </w:pPr>
    </w:p>
    <w:p w14:paraId="2918B35C">
      <w:pPr>
        <w:spacing w:after="0" w:line="360" w:lineRule="auto"/>
        <w:rPr>
          <w:rFonts w:asciiTheme="minorEastAsia" w:hAnsiTheme="minorEastAsia" w:eastAsiaTheme="minorEastAsia"/>
          <w:color w:val="auto"/>
          <w:sz w:val="24"/>
          <w:szCs w:val="24"/>
          <w:highlight w:val="none"/>
        </w:rPr>
      </w:pPr>
    </w:p>
    <w:p w14:paraId="5478C5D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5.3设备交货进度</w:t>
      </w:r>
    </w:p>
    <w:p w14:paraId="574A4F4B">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设备的交货顺序要满足工程安装进度的要求。交货进度暂定 </w:t>
      </w:r>
      <w:bookmarkStart w:id="96" w:name="OLE_LINK37"/>
      <w:bookmarkStart w:id="97" w:name="OLE_LINK36"/>
      <w:r>
        <w:rPr>
          <w:rFonts w:hint="eastAsia" w:asciiTheme="minorEastAsia" w:hAnsiTheme="minorEastAsia" w:eastAsiaTheme="minorEastAsia"/>
          <w:color w:val="auto"/>
          <w:sz w:val="24"/>
          <w:szCs w:val="24"/>
          <w:highlight w:val="none"/>
        </w:rPr>
        <w:t>XXXX年XXXX月</w:t>
      </w:r>
      <w:bookmarkEnd w:id="96"/>
      <w:bookmarkEnd w:id="97"/>
      <w:r>
        <w:rPr>
          <w:rFonts w:hint="eastAsia" w:asciiTheme="minorEastAsia" w:hAnsiTheme="minorEastAsia" w:eastAsiaTheme="minorEastAsia"/>
          <w:color w:val="auto"/>
          <w:sz w:val="24"/>
          <w:szCs w:val="24"/>
          <w:highlight w:val="none"/>
        </w:rPr>
        <w:t>，整体施工改造完成时间为XX日历天。具体时间以招标人正式通知为准。</w:t>
      </w:r>
    </w:p>
    <w:p w14:paraId="26E09E59">
      <w:pPr>
        <w:spacing w:after="0" w:line="360" w:lineRule="auto"/>
        <w:ind w:firstLine="480" w:firstLineChars="200"/>
        <w:jc w:val="center"/>
        <w:rPr>
          <w:rFonts w:asciiTheme="minorEastAsia" w:hAnsiTheme="minorEastAsia" w:eastAsiaTheme="minorEastAsia"/>
          <w:color w:val="auto"/>
          <w:sz w:val="24"/>
          <w:szCs w:val="24"/>
          <w:highlight w:val="none"/>
        </w:rPr>
      </w:pPr>
      <w:bookmarkStart w:id="98" w:name="_Toc6307901"/>
      <w:r>
        <w:rPr>
          <w:rFonts w:hint="eastAsia" w:asciiTheme="minorEastAsia" w:hAnsiTheme="minorEastAsia" w:eastAsiaTheme="minorEastAsia"/>
          <w:color w:val="auto"/>
          <w:sz w:val="24"/>
          <w:szCs w:val="24"/>
          <w:highlight w:val="none"/>
        </w:rPr>
        <w:t>设备和材料交货进度</w:t>
      </w:r>
      <w:bookmarkEnd w:id="98"/>
    </w:p>
    <w:tbl>
      <w:tblPr>
        <w:tblStyle w:val="58"/>
        <w:tblW w:w="95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8"/>
        <w:gridCol w:w="4036"/>
        <w:gridCol w:w="2976"/>
        <w:gridCol w:w="1543"/>
      </w:tblGrid>
      <w:tr w14:paraId="1FC93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68936579">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序号</w:t>
            </w:r>
          </w:p>
        </w:tc>
        <w:tc>
          <w:tcPr>
            <w:tcW w:w="4036" w:type="dxa"/>
            <w:vAlign w:val="center"/>
          </w:tcPr>
          <w:p w14:paraId="0C93490A">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设备名称</w:t>
            </w:r>
          </w:p>
        </w:tc>
        <w:tc>
          <w:tcPr>
            <w:tcW w:w="2976" w:type="dxa"/>
            <w:vAlign w:val="center"/>
          </w:tcPr>
          <w:p w14:paraId="0F5E807F">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投标人建议的到货时间</w:t>
            </w:r>
          </w:p>
        </w:tc>
        <w:tc>
          <w:tcPr>
            <w:tcW w:w="1543" w:type="dxa"/>
            <w:vAlign w:val="center"/>
          </w:tcPr>
          <w:p w14:paraId="3BFEB323">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备注</w:t>
            </w:r>
          </w:p>
        </w:tc>
      </w:tr>
      <w:tr w14:paraId="64B5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025F0B00">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w:t>
            </w:r>
          </w:p>
        </w:tc>
        <w:tc>
          <w:tcPr>
            <w:tcW w:w="4036" w:type="dxa"/>
          </w:tcPr>
          <w:p w14:paraId="276CF23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壁温升级改造设备</w:t>
            </w:r>
            <w:r>
              <w:rPr>
                <w:rFonts w:hint="eastAsia" w:ascii="宋体" w:hAnsi="宋体" w:eastAsia="宋体" w:cs="宋体"/>
                <w:color w:val="auto"/>
                <w:sz w:val="24"/>
                <w:szCs w:val="24"/>
                <w:highlight w:val="none"/>
              </w:rPr>
              <w:t>及安装附件</w:t>
            </w:r>
          </w:p>
        </w:tc>
        <w:tc>
          <w:tcPr>
            <w:tcW w:w="2976" w:type="dxa"/>
          </w:tcPr>
          <w:p w14:paraId="7A17C2AA">
            <w:pPr>
              <w:pStyle w:val="141"/>
              <w:adjustRightInd/>
              <w:spacing w:line="360" w:lineRule="auto"/>
              <w:jc w:val="left"/>
              <w:rPr>
                <w:rFonts w:asciiTheme="minorEastAsia" w:hAnsiTheme="minorEastAsia" w:eastAsiaTheme="minorEastAsia" w:cstheme="minorBidi"/>
                <w:color w:val="auto"/>
                <w:szCs w:val="24"/>
                <w:highlight w:val="none"/>
              </w:rPr>
            </w:pPr>
          </w:p>
        </w:tc>
        <w:tc>
          <w:tcPr>
            <w:tcW w:w="1543" w:type="dxa"/>
            <w:vAlign w:val="center"/>
          </w:tcPr>
          <w:p w14:paraId="05EB22F7">
            <w:pPr>
              <w:spacing w:after="0" w:line="360" w:lineRule="auto"/>
              <w:jc w:val="center"/>
              <w:rPr>
                <w:rFonts w:asciiTheme="minorEastAsia" w:hAnsiTheme="minorEastAsia" w:eastAsiaTheme="minorEastAsia"/>
                <w:color w:val="auto"/>
                <w:sz w:val="24"/>
                <w:szCs w:val="24"/>
                <w:highlight w:val="none"/>
              </w:rPr>
            </w:pPr>
          </w:p>
        </w:tc>
      </w:tr>
      <w:tr w14:paraId="78721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28A5386D">
            <w:pPr>
              <w:spacing w:after="0" w:line="360"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w:t>
            </w:r>
          </w:p>
        </w:tc>
        <w:tc>
          <w:tcPr>
            <w:tcW w:w="4036" w:type="dxa"/>
            <w:vAlign w:val="center"/>
          </w:tcPr>
          <w:p w14:paraId="3CD67C59">
            <w:pPr>
              <w:spacing w:after="0" w:line="360" w:lineRule="auto"/>
              <w:rPr>
                <w:rFonts w:asciiTheme="minorEastAsia" w:hAnsiTheme="minorEastAsia" w:eastAsiaTheme="minorEastAsia"/>
                <w:strike/>
                <w:color w:val="auto"/>
                <w:sz w:val="24"/>
                <w:szCs w:val="24"/>
                <w:highlight w:val="none"/>
              </w:rPr>
            </w:pPr>
            <w:r>
              <w:rPr>
                <w:rFonts w:hint="eastAsia" w:asciiTheme="minorEastAsia" w:hAnsiTheme="minorEastAsia" w:eastAsiaTheme="minorEastAsia"/>
                <w:color w:val="auto"/>
                <w:sz w:val="24"/>
                <w:szCs w:val="24"/>
                <w:highlight w:val="none"/>
              </w:rPr>
              <w:t>施工人员进驻现场时间</w:t>
            </w:r>
          </w:p>
        </w:tc>
        <w:tc>
          <w:tcPr>
            <w:tcW w:w="2976" w:type="dxa"/>
            <w:vAlign w:val="center"/>
          </w:tcPr>
          <w:p w14:paraId="0B553559">
            <w:pPr>
              <w:spacing w:after="0" w:line="360" w:lineRule="auto"/>
              <w:rPr>
                <w:rFonts w:asciiTheme="minorEastAsia" w:hAnsiTheme="minorEastAsia" w:eastAsiaTheme="minorEastAsia"/>
                <w:strike/>
                <w:color w:val="auto"/>
                <w:sz w:val="24"/>
                <w:szCs w:val="24"/>
                <w:highlight w:val="none"/>
              </w:rPr>
            </w:pPr>
            <w:r>
              <w:rPr>
                <w:rFonts w:hint="eastAsia" w:asciiTheme="minorEastAsia" w:hAnsiTheme="minorEastAsia" w:eastAsiaTheme="minorEastAsia"/>
                <w:color w:val="auto"/>
                <w:sz w:val="24"/>
                <w:szCs w:val="24"/>
                <w:highlight w:val="none"/>
              </w:rPr>
              <w:t>合同签订后双方商定</w:t>
            </w:r>
          </w:p>
        </w:tc>
        <w:tc>
          <w:tcPr>
            <w:tcW w:w="1543" w:type="dxa"/>
            <w:vAlign w:val="center"/>
          </w:tcPr>
          <w:p w14:paraId="5E7621BD">
            <w:pPr>
              <w:spacing w:after="0" w:line="360" w:lineRule="auto"/>
              <w:jc w:val="center"/>
              <w:rPr>
                <w:rFonts w:asciiTheme="minorEastAsia" w:hAnsiTheme="minorEastAsia" w:eastAsiaTheme="minorEastAsia"/>
                <w:color w:val="auto"/>
                <w:sz w:val="24"/>
                <w:szCs w:val="24"/>
                <w:highlight w:val="none"/>
              </w:rPr>
            </w:pPr>
          </w:p>
        </w:tc>
      </w:tr>
      <w:tr w14:paraId="625B48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0B2619D5">
            <w:pPr>
              <w:spacing w:after="0" w:line="360" w:lineRule="auto"/>
              <w:jc w:val="center"/>
              <w:rPr>
                <w:rFonts w:asciiTheme="minorEastAsia" w:hAnsiTheme="minorEastAsia" w:eastAsiaTheme="minorEastAsia"/>
                <w:strike/>
                <w:color w:val="auto"/>
                <w:sz w:val="24"/>
                <w:szCs w:val="24"/>
                <w:highlight w:val="none"/>
              </w:rPr>
            </w:pPr>
            <w:r>
              <w:rPr>
                <w:rFonts w:asciiTheme="minorEastAsia" w:hAnsiTheme="minorEastAsia" w:eastAsiaTheme="minorEastAsia"/>
                <w:color w:val="auto"/>
                <w:sz w:val="24"/>
                <w:szCs w:val="24"/>
                <w:highlight w:val="none"/>
              </w:rPr>
              <w:t>3</w:t>
            </w:r>
          </w:p>
        </w:tc>
        <w:tc>
          <w:tcPr>
            <w:tcW w:w="4036" w:type="dxa"/>
            <w:vAlign w:val="center"/>
          </w:tcPr>
          <w:p w14:paraId="6B57FF14">
            <w:pPr>
              <w:spacing w:after="0" w:line="360" w:lineRule="auto"/>
              <w:rPr>
                <w:rFonts w:asciiTheme="minorEastAsia" w:hAnsiTheme="minorEastAsia" w:eastAsiaTheme="minorEastAsia"/>
                <w:strike/>
                <w:color w:val="auto"/>
                <w:sz w:val="24"/>
                <w:szCs w:val="24"/>
                <w:highlight w:val="none"/>
              </w:rPr>
            </w:pPr>
          </w:p>
        </w:tc>
        <w:tc>
          <w:tcPr>
            <w:tcW w:w="2976" w:type="dxa"/>
            <w:vAlign w:val="center"/>
          </w:tcPr>
          <w:p w14:paraId="76DBAE80">
            <w:pPr>
              <w:spacing w:after="0" w:line="360" w:lineRule="auto"/>
              <w:rPr>
                <w:rFonts w:asciiTheme="minorEastAsia" w:hAnsiTheme="minorEastAsia" w:eastAsiaTheme="minorEastAsia"/>
                <w:strike/>
                <w:color w:val="auto"/>
                <w:sz w:val="24"/>
                <w:szCs w:val="24"/>
                <w:highlight w:val="none"/>
              </w:rPr>
            </w:pPr>
          </w:p>
        </w:tc>
        <w:tc>
          <w:tcPr>
            <w:tcW w:w="1543" w:type="dxa"/>
            <w:vAlign w:val="center"/>
          </w:tcPr>
          <w:p w14:paraId="54E61725">
            <w:pPr>
              <w:spacing w:after="0" w:line="360" w:lineRule="auto"/>
              <w:jc w:val="center"/>
              <w:rPr>
                <w:rFonts w:asciiTheme="minorEastAsia" w:hAnsiTheme="minorEastAsia" w:eastAsiaTheme="minorEastAsia"/>
                <w:strike/>
                <w:color w:val="auto"/>
                <w:sz w:val="24"/>
                <w:szCs w:val="24"/>
                <w:highlight w:val="none"/>
              </w:rPr>
            </w:pPr>
          </w:p>
        </w:tc>
      </w:tr>
    </w:tbl>
    <w:p w14:paraId="0528D30F">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说明：</w:t>
      </w:r>
    </w:p>
    <w:p w14:paraId="323C2336">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1）备品备件及专用工具随主设备同时交货。</w:t>
      </w:r>
    </w:p>
    <w:p w14:paraId="5245F624">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2）本交货时间为暂定计划，具体交货时间可根据工程进度的要求做相应的调整。</w:t>
      </w:r>
    </w:p>
    <w:p w14:paraId="0633A71F">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3）交货地点为万基宏远电力有限公司院内。</w:t>
      </w:r>
    </w:p>
    <w:p w14:paraId="224C0121">
      <w:pPr>
        <w:pStyle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6、工程综合管理</w:t>
      </w:r>
    </w:p>
    <w:p w14:paraId="465515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6.1.总述</w:t>
      </w:r>
    </w:p>
    <w:p w14:paraId="341D57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6.1.1本附件就</w:t>
      </w:r>
      <w:bookmarkStart w:id="99" w:name="OLE_LINK19"/>
      <w:bookmarkStart w:id="100" w:name="OLE_LINK21"/>
      <w:bookmarkStart w:id="101" w:name="OLE_LINK20"/>
      <w:r>
        <w:rPr>
          <w:rFonts w:hint="eastAsia" w:asciiTheme="minorEastAsia" w:hAnsiTheme="minorEastAsia" w:eastAsiaTheme="minorEastAsia"/>
          <w:color w:val="auto"/>
          <w:sz w:val="24"/>
          <w:szCs w:val="24"/>
          <w:highlight w:val="none"/>
        </w:rPr>
        <w:t>锅炉壁温系统升级改造</w:t>
      </w:r>
      <w:bookmarkEnd w:id="99"/>
      <w:bookmarkEnd w:id="100"/>
      <w:bookmarkEnd w:id="101"/>
      <w:r>
        <w:rPr>
          <w:rFonts w:hint="eastAsia"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szCs w:val="24"/>
          <w:highlight w:val="none"/>
        </w:rPr>
        <w:t>工程现场工程管理的有关工作范围、工作责任、相互关系及主要的管理标准等问题，对本工程实施的具体指导原则提出规范性条款，作为招标方和投标方的行为准则。</w:t>
      </w:r>
    </w:p>
    <w:p w14:paraId="02F2A6A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6.1.2本工程作业范围为洛阳万基宏远电力有限公司2×600MW机组锅炉相关区域，与电厂接口部分由招标方协调，相关施工工作由投标方进行，有关费用由投标方负责，且已经包括在合同总价之中。</w:t>
      </w:r>
    </w:p>
    <w:p w14:paraId="04FBDB9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6.1.3招标方、投标方在锅炉壁温系统升级改造工程建设期间，对涉及各种问题、建议、情况交流等较重大的事项均应以书面文件的形式往来。如果在此期间发生任何争议，以书面文件为第一证据。</w:t>
      </w:r>
    </w:p>
    <w:p w14:paraId="47C4002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6.1.4招标方有权要求投标方调换经审查不合格的人员、有重大过失的人员、以及在实施本项目工作时不能正确履行合同的人员等。投标方应慎重考虑招标方的意见并在3个工作日内书面回复招标方。</w:t>
      </w:r>
    </w:p>
    <w:p w14:paraId="45B17C1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6.1.5招标方对投标方文件的确认以及对工程的参与配合不免除投标方的责任，并且招标方不承担对投标方的分包商的任何管理责任及其它一切责任。</w:t>
      </w:r>
    </w:p>
    <w:p w14:paraId="6FE000C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6.1.6投标方或分包的施工单位必须具有独立法人资格，且具有要求的施工资质，承担过至少2台以上600MW机组锅炉壁温系统升级改造工程业绩</w:t>
      </w:r>
      <w:r>
        <w:rPr>
          <w:rFonts w:hint="eastAsia" w:asciiTheme="minorEastAsia" w:hAnsiTheme="minorEastAsia" w:eastAsiaTheme="minorEastAsia"/>
          <w:color w:val="auto"/>
          <w:sz w:val="24"/>
          <w:szCs w:val="24"/>
          <w:highlight w:val="none"/>
          <w:lang w:val="en-US" w:eastAsia="zh-CN"/>
        </w:rPr>
        <w:t>或600MW锅炉B级检修业绩</w:t>
      </w:r>
      <w:r>
        <w:rPr>
          <w:rFonts w:hint="eastAsia" w:asciiTheme="minorEastAsia" w:hAnsiTheme="minorEastAsia" w:eastAsiaTheme="minorEastAsia"/>
          <w:color w:val="auto"/>
          <w:sz w:val="24"/>
          <w:szCs w:val="24"/>
          <w:highlight w:val="none"/>
        </w:rPr>
        <w:t>。并拥有施工小型火电站所需施工机械，施工队伍具有现代化管理水平。</w:t>
      </w:r>
    </w:p>
    <w:p w14:paraId="7453774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6.1.7项目经理的资格要求：投标方须提供拟任项目经理有效的机电专业二级注册建造师证书或高级专业技术职称证书。</w:t>
      </w:r>
    </w:p>
    <w:p w14:paraId="2B06411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6.1.8 本改造工程涉及的脚手架搭设、保温材料施工以及消耗性材料（保温材料、氧气、乙炔等）全部由投标方负责。</w:t>
      </w:r>
    </w:p>
    <w:p w14:paraId="0DA04454">
      <w:pPr>
        <w:spacing w:after="0"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6.1.9 本项目投标方或分包的施工单位必须具有环保专业承包二级资质或电力或机电施工总承包二级及以上资质。</w:t>
      </w:r>
    </w:p>
    <w:p w14:paraId="619DED64">
      <w:pPr>
        <w:spacing w:after="0"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 xml:space="preserve"> 投标人需提供2022年-2024年间连续三年，经会计师事务所或审计机构出具的财务审计报告；</w:t>
      </w:r>
    </w:p>
    <w:p w14:paraId="26A15B81">
      <w:pPr>
        <w:spacing w:after="0"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6.1.</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 xml:space="preserve"> 投标人不得列入国家企业信用信息公示系统经营异常名录信息、严重违法失信企业名单（黑名单)；</w:t>
      </w:r>
    </w:p>
    <w:p w14:paraId="6366597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6.2.工作范围</w:t>
      </w:r>
    </w:p>
    <w:p w14:paraId="14A09E2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6.2.1概述</w:t>
      </w:r>
    </w:p>
    <w:p w14:paraId="57B6FAD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负责为招标方提供一套完整的锅炉壁温系统，负责改造工程的设计、采购、施工安装和试运行服务等全过程，向招标方交付具备使用条件的工程。总的工作范围包括全部设计、设备制造（含现场制作设备）、设备及材料供货、运输、设备安装、调试、技术服务、人员培训、试验、检验、售后服务等以及为本次改造而进行其他设备的改造设计、制造、供货、运输和储存、转运拆除废旧物资、安装、恢复原系统、调试、检验、试验、试运行、考核运行、消缺、培训以及工程移交后的售后服务等。</w:t>
      </w:r>
    </w:p>
    <w:p w14:paraId="4BFC193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6.2.2施工和安装</w:t>
      </w:r>
    </w:p>
    <w:p w14:paraId="237C092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6.2.2.1投标方负责锅炉壁温系统升级改造的现场安装工并对施工安装方案和质量负责。本合同涉及范围内旧设备的拆除和新设备的安装和调试均由投标方负责（脚手架由投标方负责），拆下的旧设备归招标方所有，投标方负责运送至指定厂内地点。整个拆除、安装、调试过程须在招标方人员监督下进行</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施工过程造成原设施、设备损坏的由投标方负责恢复</w:t>
      </w:r>
      <w:r>
        <w:rPr>
          <w:rFonts w:hint="eastAsia" w:asciiTheme="minorEastAsia" w:hAnsiTheme="minorEastAsia" w:eastAsiaTheme="minorEastAsia"/>
          <w:color w:val="auto"/>
          <w:sz w:val="24"/>
          <w:szCs w:val="24"/>
          <w:highlight w:val="none"/>
        </w:rPr>
        <w:t>。重要工序由投标方提供，经双方技术人员签字确认。</w:t>
      </w:r>
    </w:p>
    <w:p w14:paraId="73A6BF0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6.2.2.2投标方在应提供完整的施工组织方案、设计供货安装进度，提供施工图纸、施工方案及安全措施、施工进度网络图。</w:t>
      </w:r>
    </w:p>
    <w:p w14:paraId="5034BCF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6.2.2.3本改造项目施工机具、消耗性材料、保温</w:t>
      </w:r>
      <w:r>
        <w:rPr>
          <w:rFonts w:hint="eastAsia" w:asciiTheme="minorEastAsia" w:hAnsiTheme="minorEastAsia" w:eastAsiaTheme="minorEastAsia"/>
          <w:color w:val="auto"/>
          <w:sz w:val="24"/>
          <w:szCs w:val="24"/>
          <w:highlight w:val="none"/>
          <w:lang w:val="en-US" w:eastAsia="zh-CN"/>
        </w:rPr>
        <w:t>拆除恢复相关工作</w:t>
      </w:r>
      <w:r>
        <w:rPr>
          <w:rFonts w:hint="eastAsia" w:asciiTheme="minorEastAsia" w:hAnsiTheme="minorEastAsia" w:eastAsiaTheme="minorEastAsia"/>
          <w:color w:val="auto"/>
          <w:sz w:val="24"/>
          <w:szCs w:val="24"/>
          <w:highlight w:val="none"/>
        </w:rPr>
        <w:t>全部由投标方负责。</w:t>
      </w:r>
    </w:p>
    <w:p w14:paraId="37364D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6.2.2.4改造后的冷态调试、热态调试试验：投标方负责在设备安装、保温及现场检验和试验工作全部完成之后，进行系统调试。</w:t>
      </w:r>
    </w:p>
    <w:p w14:paraId="541CC26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6.3.工程管理</w:t>
      </w:r>
    </w:p>
    <w:p w14:paraId="4712850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6.3.1投标方项目组织机构及要求</w:t>
      </w:r>
    </w:p>
    <w:p w14:paraId="00838B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为了保证锅炉壁温系统升级改造工程按规定建成投产，在本工程实施的全过程中，投标方应在招标方的监督和指导之下通过建立和健全相应的组织机构，组织、联系、协调各有关单位，对本工程建设项目实施有效的管理，以保证本项目在安全、质量、技术、工期、物资、投资控制、文明施工、档案管理等各个方面均达到规定标准，按期投产并移交招标方。因此，投标方应为本项目建立专门的总承包管理机构，并设置专门人员负责上述工作并保持与招标方和有关单位的联系。</w:t>
      </w:r>
    </w:p>
    <w:p w14:paraId="7D26686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投标方应建立适应本项目的技术管理体系，各级、各专责技术负责人要具有相应的资质、能胜任锅炉壁温系统升级改造工程技术工作，名单应报招标方同意并备案。</w:t>
      </w:r>
    </w:p>
    <w:p w14:paraId="48E5C4D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特种作业人员（含高处作业）必须持有满足应急管理局要求的证书，并提供应急管理局网站查询资料，特种设备操作人员应提供市场监督管理局查询的证书资料；安全员必须持有安全资格管理证书且在有效期内；投标方所有人员应具备一定的安全基础知识，能独立完成招标方组织的各项培训、考试。</w:t>
      </w:r>
    </w:p>
    <w:p w14:paraId="2B87D7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负责人、安全员、工程技术人员距离开工日期至少提前5天到招标方接受安全教育培训和安全技术交底。以上主要负责人员（指部门负责人及以上人员）任命名单、资质、行政职务、组织关系、以及授权等均应书面通知招标方。招标方将对此进行审查认可，未经招标方同意，在工程建设期间投标方不得任意更换主要负责人员。</w:t>
      </w:r>
    </w:p>
    <w:p w14:paraId="3D422EB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6.3.2投标方应设立项目部并明确项目经理的工作范围和职责、职权，由项目经理负责制定相应的、适应本项目的各项管理制度，例如安全、质量、进度、文明生产、会议制度等方面的管理制度等。并以书面文件的形式在合同生效后提交招标方审查后执行。</w:t>
      </w:r>
    </w:p>
    <w:p w14:paraId="4EE8BB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经理应挑选具有资质、业绩（至少担任过单机容量600MW锅炉壁温系统升级改造工程项目经理）并符合本工程项目条件的人员担任，各部门负责人员也应委派具有相应资质和业绩的人员担任。名单应送交招标方审核后执行。对招标方表示有疑问的人员应慎重选派。</w:t>
      </w:r>
    </w:p>
    <w:p w14:paraId="2D88810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6.3.3项目方案</w:t>
      </w:r>
    </w:p>
    <w:p w14:paraId="59BF60C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投标方应按合同规定的技术标准、技术规范、制造厂标准进行设计、物资及设备采购、施工、调试、验收等，但不限于此，必须保证锅炉壁温系统升级改造工程各个环节都达到合同规定的技术标准。</w:t>
      </w:r>
    </w:p>
    <w:p w14:paraId="69C1FE7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为了保证本锅炉壁温系统升级改造工程建设达到规定标准，投标方应根据工程合同、标准和规范编制有关的项目组织方案，经招标方审核同意后实施，作为投标方在招标方的监督、指导之下，指导</w:t>
      </w:r>
      <w:bookmarkStart w:id="102" w:name="OLE_LINK23"/>
      <w:bookmarkStart w:id="103" w:name="OLE_LINK22"/>
      <w:r>
        <w:rPr>
          <w:rFonts w:hint="eastAsia" w:asciiTheme="minorEastAsia" w:hAnsiTheme="minorEastAsia" w:eastAsiaTheme="minorEastAsia"/>
          <w:color w:val="auto"/>
          <w:sz w:val="24"/>
          <w:szCs w:val="24"/>
          <w:highlight w:val="none"/>
        </w:rPr>
        <w:t>锅炉壁温系统升级改造</w:t>
      </w:r>
      <w:bookmarkEnd w:id="102"/>
      <w:bookmarkEnd w:id="103"/>
      <w:r>
        <w:rPr>
          <w:rFonts w:hint="eastAsia" w:asciiTheme="minorEastAsia" w:hAnsiTheme="minorEastAsia" w:eastAsiaTheme="minorEastAsia"/>
          <w:color w:val="auto"/>
          <w:sz w:val="24"/>
          <w:szCs w:val="24"/>
          <w:highlight w:val="none"/>
        </w:rPr>
        <w:t>建设的基本文件之一。至少包括以下部分，但不限于此：</w:t>
      </w:r>
    </w:p>
    <w:p w14:paraId="54F4C66E">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总承包组织大纲</w:t>
      </w:r>
    </w:p>
    <w:p w14:paraId="150555F8">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设计组织大纲</w:t>
      </w:r>
    </w:p>
    <w:p w14:paraId="587F1383">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机械设备和材料安装施工组织大纲</w:t>
      </w:r>
    </w:p>
    <w:p w14:paraId="15500537">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热控安装组织大纲</w:t>
      </w:r>
    </w:p>
    <w:p w14:paraId="3EF23CC6">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调试大纲</w:t>
      </w:r>
    </w:p>
    <w:p w14:paraId="5C48CDA9">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试运行大纲</w:t>
      </w:r>
    </w:p>
    <w:p w14:paraId="0C86E5EE">
      <w:pPr>
        <w:pStyle w:val="310"/>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物资管理办法</w:t>
      </w:r>
    </w:p>
    <w:p w14:paraId="11DD2EC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6.4.工程进度管理和计划</w:t>
      </w:r>
    </w:p>
    <w:p w14:paraId="746B3C0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投标方应根据本改造工程的改造范围及特点、项目组织实施程序及试生产顺序要求，合理编制锅炉壁温系统升级改造总的控制工期，并标出关键的控制节点工期，合同谈判时提交，供招标方确认。</w:t>
      </w:r>
    </w:p>
    <w:p w14:paraId="09854CA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照制定的项目总进度表，把工程设计、设备材料采购、工程施工、试车、试验及调试、工程建设条件的要求进行统筹安排合理交叉，制定出切实可行且留有余地的工程统筹控制计划、工程项目各个阶段详细的进度表和工程项目各个阶段详细的进度控制网络计划图。</w:t>
      </w:r>
    </w:p>
    <w:p w14:paraId="61F27B4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投标方应按周、月编制作业进度计划和作业进度完成情况报告，送招标方备案。</w:t>
      </w:r>
    </w:p>
    <w:p w14:paraId="4FFAD77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投标方应承诺本锅炉壁温系统升级改造按规定按期完成的条件，例如库房、组合场地、加工场地、公路运输等条件，不限于此，由投标方负责，组织落实情况报招标方备案，并保证此类事务不影响工期。</w:t>
      </w:r>
    </w:p>
    <w:p w14:paraId="5A4D033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招标方不接受投标方要求调整合同规定的总工期的要求，除非投标方能证明工期延误属于招标方的责任。不可抗力造成的工期延误或装置损坏由双方协商解决。</w:t>
      </w:r>
    </w:p>
    <w:p w14:paraId="008BCE6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项目施工进度表和设备交货进度表应在技术协议中提交、合同谈判时招标方确认。</w:t>
      </w:r>
    </w:p>
    <w:p w14:paraId="0B24405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6.4.1设计进度及管理</w:t>
      </w:r>
    </w:p>
    <w:p w14:paraId="633416E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锅炉壁温系统升级改造工程应保证工艺技术先进，系统配置合理，设备性能可靠，装置投产后要达到设计能力，安全、经济运行。要达到上述标准，至关重要的是项目设计，投标方要保证设计工作达到合同规定的各项性能保证指标。</w:t>
      </w:r>
    </w:p>
    <w:p w14:paraId="1E21C8E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投标方应按照招标方确定的工程总体进度要求，按时提供基本设计文件、详细设计文件、设备采购技术技术协议及施工、安装、运行说明书。</w:t>
      </w:r>
    </w:p>
    <w:p w14:paraId="5BBDD3E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提供的设计不仅应满足施工、安装和调试的要求，还应满足招标方运行、维护和检修方便的需要，而且同时应符合本标书中规定的技术要求。本设计应能达到优良的技术经济指标，满足合同中规定的各项保证值要求。在本工程实施过程中，因各种原因需要进行小型的设计修改，例如避碰、遗漏等，这些修改应经招标方代表签字确认。本项目的设计修改不涉及工艺、主要设备、主要材料、不降低建设标准等关键环节。</w:t>
      </w:r>
    </w:p>
    <w:p w14:paraId="245F7E9A">
      <w:pPr>
        <w:spacing w:after="0" w:line="360" w:lineRule="auto"/>
        <w:rPr>
          <w:rFonts w:ascii="宋体" w:hAnsi="宋体" w:eastAsia="宋体" w:cs="宋体"/>
          <w:color w:val="auto"/>
          <w:sz w:val="24"/>
          <w:szCs w:val="24"/>
          <w:highlight w:val="none"/>
        </w:rPr>
      </w:pPr>
      <w:r>
        <w:rPr>
          <w:rFonts w:hint="eastAsia" w:asciiTheme="minorEastAsia" w:hAnsiTheme="minorEastAsia" w:eastAsiaTheme="minorEastAsia"/>
          <w:color w:val="auto"/>
          <w:sz w:val="24"/>
          <w:szCs w:val="24"/>
          <w:highlight w:val="none"/>
        </w:rPr>
        <w:t>投标方按照招标方的总体进度要求，组织召开设计联络会。</w:t>
      </w:r>
    </w:p>
    <w:p w14:paraId="3AE50BE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6.4.2设备材料采购进度及管理</w:t>
      </w:r>
    </w:p>
    <w:p w14:paraId="5416B4D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根据项目进度要求，负责编制采购计划，负责编制技术协议或询价函。投标方负责招标、组织评标和合同谈判，投标方应保证所采购的所有设备满足工程总进度、性能指标和安全可靠运行的要求。</w:t>
      </w:r>
    </w:p>
    <w:p w14:paraId="30E1553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根据总进度的要求，结合现场的实际情况（存放场地及库房条件）和设备的保管要求，由投标方负责编排详细的设备交货进度，并会同招标方与各设备供货商在合同谈判中予以落实，并以合同附件加以明确。投标方在施工过程中应按合同规定的交货进度，结合工程实际情况及时跟踪、催交设备。</w:t>
      </w:r>
    </w:p>
    <w:p w14:paraId="330441F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承包设备管理工作的范围是从合同签订后开始，在合同执行过程全过程的管理服务（包括但不仅仅限于：货讯管理、跟踪；交货资料管理；工厂监造；设备催交；工厂检验；运输及保险；现场接运；开箱检验；仓储保管；品质检验和性能考核；对外索赔取证等）。</w:t>
      </w:r>
    </w:p>
    <w:p w14:paraId="473E21C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6.4.3施工及调试进度及管理</w:t>
      </w:r>
    </w:p>
    <w:p w14:paraId="18F8147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6.4.3.1施工组织方案</w:t>
      </w:r>
    </w:p>
    <w:p w14:paraId="5A73D6F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对整个工程施工的思路、想法、主吊车的选用等进行叙述，对施工总平面布置、施工区域划分和施工用地面积指标、交通运输组织、施工管线平面布置、施工机械平面布置、施工总平面管理、施工临时设施及场地（包括土建工程生产性施工临时建筑及施工场地、安装工程生产性施工临时建筑及施工场地、生活性施工临时建筑）等进行说明，并提出施工临时建筑总面积。</w:t>
      </w:r>
    </w:p>
    <w:p w14:paraId="24872DB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6.4.3.2施工力能供应和施工人力、机具配置</w:t>
      </w:r>
    </w:p>
    <w:p w14:paraId="10B95D3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对施工时供水、供电、供热、以及氧气、乙炔、氩气和压缩空气等供应方式等进行说明；并提出综合劳动力和主要工种劳动力安排计划，以及主要施工机械设备配置及进场计划施工人员组织、施工机具数量等。</w:t>
      </w:r>
    </w:p>
    <w:p w14:paraId="07721CB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6.4.3.3分部调试方案</w:t>
      </w:r>
    </w:p>
    <w:p w14:paraId="3E18FCC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设备、分系统单独试运转试验应在调试工作开始之前由投标方负责进行，并消除所发现的缺陷。在开始试验前，投标方应按系统提供装置的分部试运方案。投标方应确保各个系统能够正常运行，满足技术协议中的各项要求。</w:t>
      </w:r>
    </w:p>
    <w:p w14:paraId="360776F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6.4.3.4整体调试方案</w:t>
      </w:r>
    </w:p>
    <w:p w14:paraId="1553868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在机械安装、保温及现场检验试验以及分部调试工作都完成并通过竣工检验之后，应进行冷态调试试验，冷态试验调试完毕。</w:t>
      </w:r>
    </w:p>
    <w:p w14:paraId="0C80721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在装置通过竣工检验之前，投标方必须向招标方提交详细的调试计划及运行操作手册。装置试运行的时间和负荷范围须事先征求招标方同意。</w:t>
      </w:r>
    </w:p>
    <w:p w14:paraId="1C9110B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投标方应对全套装置的启动、调试及性能试验工作负全部责任。投标方应派调试和性能试验人员到现场以便直接指挥或管理招标方操作人员正确处理和操作系统及设备。</w:t>
      </w:r>
    </w:p>
    <w:p w14:paraId="4338BFA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控制系统应具有良好的响应特性，并符合本技术协议的要求。</w:t>
      </w:r>
    </w:p>
    <w:p w14:paraId="7D436F2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6.5.质量目标及保证措施</w:t>
      </w:r>
    </w:p>
    <w:p w14:paraId="30549ED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6.5.1质量目标</w:t>
      </w:r>
    </w:p>
    <w:p w14:paraId="0BA4F66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6.5.1.1投标方应结合工程实际情况，提供符合ISO9001：2000质量管理体系要求的质量计划或质保大纲。</w:t>
      </w:r>
    </w:p>
    <w:p w14:paraId="5ECC053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6.5.1.2投标方应结合工程实际情况，提供达标创优的策划、措施。</w:t>
      </w:r>
    </w:p>
    <w:p w14:paraId="0A5624A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6.5.1.3投标方负责总承包范围内的从初步设计到竣工的全面质量管理，使项目建设按照设备供货商提供的技术、标准，国内的有关电力建设施工、调试的技术规范、标准、验收规程要求进行设计、设备制造、材料采购、土建施工、设备安装、调试以至移交生产的全过程、全方位的质量管理，使之满足设计要求,移交生产达标并形成综合生产能力。本工程质量总体要求为：</w:t>
      </w:r>
    </w:p>
    <w:p w14:paraId="57681AF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6.5.1.4安装项目单位工程优良率100%</w:t>
      </w:r>
    </w:p>
    <w:p w14:paraId="2AC624A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分部工程优良率为100%</w:t>
      </w:r>
    </w:p>
    <w:p w14:paraId="57B9651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分项工程优良率&gt;98%</w:t>
      </w:r>
    </w:p>
    <w:p w14:paraId="39FAFA2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分项工程合格率100%</w:t>
      </w:r>
    </w:p>
    <w:p w14:paraId="58924AB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安装焊口一检合格率99%以上</w:t>
      </w:r>
    </w:p>
    <w:p w14:paraId="5214DAD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6.5.1.5本工程所有工程项目的施工质量将全部受监受检，施工全过程受控，将不合格品消除在施工过程中，确保施工结果及成品质量项符合标准，达到优良。</w:t>
      </w:r>
    </w:p>
    <w:p w14:paraId="671DF24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6.5.2质量标准</w:t>
      </w:r>
    </w:p>
    <w:p w14:paraId="049C131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投标方用于质量管理的国内标准和规范参见附件11，引进标准和规范在签订合同之后按规定翻译后提供给招标方。</w:t>
      </w:r>
    </w:p>
    <w:p w14:paraId="7FFBCC4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6.5.3质量控制</w:t>
      </w:r>
    </w:p>
    <w:p w14:paraId="7038EE5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6.5.3.1设计质量</w:t>
      </w:r>
    </w:p>
    <w:p w14:paraId="1B34244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6.5.3.1.1投标方负责按照与外商的合同中规定的技术规范、标准审查设备供货商的设计（包括图纸、资料的质量），及时发现不符项并提出处理意见，重大问题报招标方认可后实施。</w:t>
      </w:r>
    </w:p>
    <w:p w14:paraId="5B7EF70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6.5.3.1.2投标方负责设计范围内的设计质量，确保项目设计符合国家的有关法律、法规和技术标准。</w:t>
      </w:r>
    </w:p>
    <w:p w14:paraId="00C9FD3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6.5.3.1.3当设计与现场实际不符或其它原因需要设计变更时，应报招标方认可后由投标方组织实施。</w:t>
      </w:r>
    </w:p>
    <w:p w14:paraId="7351485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6.5.3.1.4投标方负责组织设计交底与图纸会审。</w:t>
      </w:r>
    </w:p>
    <w:p w14:paraId="72F4606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6.5.3.2设备和材料质量</w:t>
      </w:r>
    </w:p>
    <w:p w14:paraId="50A3B0C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6.5.3.2.1投标方负责按照合同规定的技术规范、标准监督、检查设备的制造质量，在设备厂家监造、开箱检查、以及设备安装过程中及时发现不符项，作好记录、签证工作，并提出处理意见，发现重大问题，应报招标方认可后由投标方实施。</w:t>
      </w:r>
    </w:p>
    <w:p w14:paraId="3070B4F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6.5.3.2.2投标方负责自行采购的产品质量和服务质量，建立不合格产品管理程序，不合格产品不得用在工程上。</w:t>
      </w:r>
    </w:p>
    <w:p w14:paraId="62346D0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6.5.3.2.3投标方对本工程供应的主要设备、主要材料如发现重大质量问题，应在第一时间内通知招标方，并按有关规定积极处理。处理的结果必须经招标方确认。投标方对其它设备、材料发生的质量问题和处理方案，也应通知招标方并取得同意。</w:t>
      </w:r>
    </w:p>
    <w:p w14:paraId="727A6A0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6.5.3.3施工质量</w:t>
      </w:r>
    </w:p>
    <w:p w14:paraId="78817F1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6.5.3.3.1投标方根据质量管理的要求，建立质量体系，编制质保程序，并根据实际情况，编本工程质量控制计划，质量检验和试验计划, 报招标方认可后由投标方组织实施。</w:t>
      </w:r>
    </w:p>
    <w:p w14:paraId="43C668A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6.5.3.3.2投标方将编制总承包范围内的施工组织设计和重大施工技术措施、方案，报招标方或招标方代表认可后由投标方组织实施。</w:t>
      </w:r>
    </w:p>
    <w:p w14:paraId="534122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6.5.3.3.3经招标方同意的投标方向外分包工程，投标方仍应对质量负全部责任。</w:t>
      </w:r>
    </w:p>
    <w:p w14:paraId="786FA08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6.5.3.3.4招标方有权监督检查，有权发出纠正通知，投标方应在规定期限内采取纠正措施，当发现有严重损害质量、或多次采取纠正措施均无效的情况时，招标方或招标方代表有权使用质量一票否决权，发布警告或停工令。</w:t>
      </w:r>
    </w:p>
    <w:p w14:paraId="24FA13E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6.5.3.3.5投标方对工程中采用的新材料、新结构、施工新工艺、新技术，均应审核其技术鉴定书。未经试验或无技术鉴定书的新工艺、新技术、新材料、新结构不得在工程上应用。</w:t>
      </w:r>
    </w:p>
    <w:p w14:paraId="5C465FC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6.5.3.3.6主要单项、单位工程的开工，由投标方提出开工申请报告，招标方复核后发布开工令。</w:t>
      </w:r>
    </w:p>
    <w:p w14:paraId="0275F02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6.5.3.3.7工程施工质量必须符合外商图纸、资料以及国内有关电力建设的标准要求，工程的最终质量验收评定结果达到优良标准。</w:t>
      </w:r>
    </w:p>
    <w:p w14:paraId="1524415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6.5.3.3.8对质量检验和试验计划中规定的控制点，投标方应于24小时前（厂外工程48小时），书面通知招标方以及招标方代表，招标方或招标方代表按时到达现场进行检查，如无异议，双方代表签字。对见证点，如招标方代表未能及时到现场，投标方可自检合格后继续施工。对停工待检点，如招标方代表未能及时到现场，投标方等待2小时后，将继续施工，招标方以及招标方代表则应予承认，并在3天内补办此项目签字。</w:t>
      </w:r>
    </w:p>
    <w:p w14:paraId="664B964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6.5.3.3.9投标方应严格执行隐蔽工程验收制度，隐蔽工程在具备覆盖条件时，投标方应于24小时（厂外工程48小时）前书面通知招标方以及招标方代表，招标方代表按时到现场验收，然后办理隐蔽工程验收手续，如招标方代表未到现场检查验收，投标方可自行检查验收，并做好记录后覆盖，招标方以及招标方代表应予承认。日后如招标方或招标方代表提出开挖检查，投标方应按招标方要求挖出。检查结果不符合质量要求者，其返工费用由投标方负责，如质量符合要求则费用由招标方负责。投标方在隐蔽工程施工前，未按规定书面通知招标方检查验收，擅自覆盖隐蔽工程，招标方有权要求停工，停工损失由投标方自行负责。上道工序未经验收合格，不得进行下一道工序的施工。</w:t>
      </w:r>
    </w:p>
    <w:p w14:paraId="533EB79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6.5.3.3.10投标方对完成的分项、分部工程，按相应的质量评定标准和方法进行检查、验收，通知招标方代表参加。对阶段性或单位工程的检查验收，由投标方向质监站提出申请（质监站同意），由质监站组织进行监督检查，通知招标方以及招标方代表参加。</w:t>
      </w:r>
    </w:p>
    <w:p w14:paraId="6F627F8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6.5.3.3.11发生质量事故，投标方应报招标方以及招标方代表共同研究处理，在任何情况下，都不能使最终工程质量受到影响，造成隐患，否则，招标方或招标方代表有权要求投标方返工，并保证工期，由此发生的费用由投标方负责。</w:t>
      </w:r>
    </w:p>
    <w:p w14:paraId="6301067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6.5.3.4调试质量</w:t>
      </w:r>
    </w:p>
    <w:p w14:paraId="3BB38ED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6.5.3.4.1投标方负责建立调试质量管理体系，编制调试质量控制计划和质保程序以及单机、分系统和整套启动调试方案。</w:t>
      </w:r>
    </w:p>
    <w:p w14:paraId="748A634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6.5.3.4.2投标方负责编制调试质量检验计划，确定调试项目见证点或控制点。</w:t>
      </w:r>
    </w:p>
    <w:p w14:paraId="344FF5D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5.3.4.3调试质量要求达到部颁《火电工程调整试运质量检验评定标准（1996版）》优的标准。</w:t>
      </w:r>
    </w:p>
    <w:p w14:paraId="287F248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6.5.3.4.4招标方组织完成热管低温省煤器装置的性能考核，性能指标达到设计值。如性能不能达到设计值，则按考核指标进行考核。</w:t>
      </w:r>
    </w:p>
    <w:p w14:paraId="3E75102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6.5.4验收</w:t>
      </w:r>
    </w:p>
    <w:p w14:paraId="1247EDD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本改造工程应严格按合同和有关标准、规范建设并完成。在招标方的监督、指导下，由投标方设计、设备和材料供应、施工、调试、试运行合格后，由招标方验收合格。</w:t>
      </w:r>
    </w:p>
    <w:p w14:paraId="0AD59AA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 质量管理考核细则</w:t>
      </w:r>
    </w:p>
    <w:p w14:paraId="6063B4C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6.5.5.1投标方违反合同要求转包工程或违反合同要求分包工程，且分包给不具备相应资质的单位，招标方将按合同违约条款处理并将其违法行为上报至建设行政主管部门进行处罚；对造成质量损失的，承担赔偿责任。</w:t>
      </w:r>
    </w:p>
    <w:p w14:paraId="282B30D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6.5.5.2投标方在办理合同规定的分包业务时，未经合同规定审核单位的同意将业务分包给不具相应资质的单位的，责令改正并处罚款：10000～20000元。</w:t>
      </w:r>
    </w:p>
    <w:p w14:paraId="74C75A7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6.5.5.3投标方因管理不善、人员过失等原因，发生重大质量事故的，除承担质量事故造成的全部损失外应在招标方的要求下限期完成整改，如经整改仍达不到标准的，招标方有权终止合同。</w:t>
      </w:r>
    </w:p>
    <w:p w14:paraId="0756B2F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6.5.5.4施工承包商有下列情形之一的，责令改正并处罚款500～30000元。</w:t>
      </w:r>
    </w:p>
    <w:p w14:paraId="7B5A945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6.5.5.4.1项目经理、施工负责人及设计负责人自工程前期筹划至工程竣工止，每月在施工现场少于22天，工程施工作业密集或工期紧张时少于30天。</w:t>
      </w:r>
    </w:p>
    <w:p w14:paraId="571BE49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6.5.5.4.2施工组织措施未得到批准、施工之前未对作业人员作书面的技术及质量标准的交底并报监理部备案；无开工令自行开工的；</w:t>
      </w:r>
    </w:p>
    <w:p w14:paraId="3E0CF629">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6.5.5.4.3没有正当理由和合理手续拖延开工时间，停工令后未经监理工程师同意擅自开工的；</w:t>
      </w:r>
    </w:p>
    <w:p w14:paraId="5E826C1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6.5.5.4.4不合格材料、构配件以及材料未经检验而使用的；</w:t>
      </w:r>
    </w:p>
    <w:p w14:paraId="7B53216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6.5.5.4.5违反工程建设强制性标准降低工程质量或不按规范操作或不按标准和施工图纸施工的；</w:t>
      </w:r>
    </w:p>
    <w:p w14:paraId="1B685A3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6.5.5.4.6工程未经验收或验收不合格而进行下道工序、隐蔽、交工的；</w:t>
      </w:r>
    </w:p>
    <w:p w14:paraId="101D345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6.5.5.4.7对质检（监）人员和监理工程师提出的质量问题超过要求时间不处理（或不答复）或再次处理仍不合格的；</w:t>
      </w:r>
    </w:p>
    <w:p w14:paraId="7506AE0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6.5.5.4.8未经项目监理部的批准进行任何质量问题的修复、纠偏等工作。</w:t>
      </w:r>
    </w:p>
    <w:p w14:paraId="4AC26A1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6.5.5.4.9各种验收表格的填报资料，必须真实、准确，真正做到现场实测实量，不准弄虚作假。</w:t>
      </w:r>
    </w:p>
    <w:p w14:paraId="1733F84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6.5.5.4.10存在质量通病且消除不力的；</w:t>
      </w:r>
    </w:p>
    <w:p w14:paraId="6B377C83">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6.5.5.4.11发生质量事故隐瞒不报、谎报或者拖延报告期限的；</w:t>
      </w:r>
    </w:p>
    <w:p w14:paraId="320C6F8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6.5.5.4.12造成成品二次污染的。</w:t>
      </w:r>
    </w:p>
    <w:p w14:paraId="157960A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上述条款造成工程质量不符合质量标准的，要负责返工、修理，并赔偿相应的经济损失。造成质量事故的责令整顿，如整改不力再次发生事故则责令退出现场。</w:t>
      </w:r>
    </w:p>
    <w:p w14:paraId="613288B1">
      <w:pPr>
        <w:spacing w:after="0"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br w:type="page"/>
      </w:r>
    </w:p>
    <w:p w14:paraId="521175D0">
      <w:pPr>
        <w:spacing w:after="0" w:line="360" w:lineRule="auto"/>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7、技术资料和交付进度</w:t>
      </w:r>
    </w:p>
    <w:p w14:paraId="589B14E2">
      <w:pPr>
        <w:spacing w:after="0" w:line="360" w:lineRule="auto"/>
        <w:rPr>
          <w:rFonts w:asciiTheme="minorEastAsia" w:hAnsiTheme="minorEastAsia" w:eastAsiaTheme="minorEastAsia"/>
          <w:color w:val="auto"/>
          <w:sz w:val="24"/>
          <w:szCs w:val="24"/>
          <w:highlight w:val="none"/>
        </w:rPr>
      </w:pPr>
      <w:bookmarkStart w:id="104" w:name="_Toc16135040"/>
      <w:r>
        <w:rPr>
          <w:rFonts w:hint="eastAsia" w:asciiTheme="minorEastAsia" w:hAnsiTheme="minorEastAsia" w:eastAsiaTheme="minorEastAsia"/>
          <w:color w:val="auto"/>
          <w:sz w:val="24"/>
          <w:szCs w:val="24"/>
          <w:highlight w:val="none"/>
        </w:rPr>
        <w:t>7.1 一般要求</w:t>
      </w:r>
    </w:p>
    <w:p w14:paraId="6E4970B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7.1.1 投标人提供的资料使用中国法定计量单位。技术资料和图纸的文种为中文。外方提供的图纸和资料翻译成中文随同原文一并提交招标人。图纸资料以中文为准，图纸资料除提供书面文件外还提供软盘或光盘。图纸为AutoCAD格式，文本文件为Word/Excel格式。</w:t>
      </w:r>
    </w:p>
    <w:p w14:paraId="5EE8B60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7.1.2 资料的组织结构清晰、逻辑性强。资料内容要正确、准确、一致、清晰完整，满足工程要求。</w:t>
      </w:r>
    </w:p>
    <w:p w14:paraId="1025D81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7.1.3 投标人资料的提交及时充分，满足工程进度要求。在合同草签后半个月内提交主要技术数据清单及满足工程设计的图纸资料。</w:t>
      </w:r>
    </w:p>
    <w:p w14:paraId="3990BAB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7.1.4 投标人提供的技术资料一般可分为配合工程设计阶段，设备监造检验，施工调试试运、性能验收试验和运行维护等四个方面。投标人须满足以上四个方面的具体要求。</w:t>
      </w:r>
    </w:p>
    <w:p w14:paraId="26D0CF4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7.1.5 对于其它没有列入合同技术数据清单，确是工程所必需的文件和资料，一经发现，投标人也及时免费提供。如本期工程为多台机组（设备）构成，后续机组（设备）有改进时，投标人及时免费提供新的技术资料。</w:t>
      </w:r>
    </w:p>
    <w:p w14:paraId="21458686">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7.1.6 招标人将及时提供与合同设备设计制造有关的资料。</w:t>
      </w:r>
    </w:p>
    <w:p w14:paraId="44D80A8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7.1.7 投标人提供的施工用技术资料为每台机组10套，电子文本2套，且在设备交货前10天提前供完。并盖有“河南万基宏远电力有限公司机组灵活性改造工程专用”及“正式资料”字样专用章。</w:t>
      </w:r>
    </w:p>
    <w:p w14:paraId="3CB66C07">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7.1.8 投标人在配合工程设计阶段应提供的技术资料为5套，电子文本2套。</w:t>
      </w:r>
    </w:p>
    <w:p w14:paraId="22F4829E">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7.1.9 投标人提供的图纸应清晰，不得提供缩微复印的图纸。</w:t>
      </w:r>
    </w:p>
    <w:p w14:paraId="69E3C9B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7.1.10如有英文资料，请投标人提供中文资料，并以中文资料为准。</w:t>
      </w:r>
    </w:p>
    <w:p w14:paraId="38C691E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7.2图纸资料要求</w:t>
      </w:r>
      <w:bookmarkEnd w:id="104"/>
    </w:p>
    <w:p w14:paraId="1FFCED11">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协议签订后7天内提供正式图纸文件资料，最终图纸注明定货合同号并有明显的最终版标记。</w:t>
      </w:r>
    </w:p>
    <w:p w14:paraId="46EEE740">
      <w:pPr>
        <w:spacing w:after="0" w:line="360" w:lineRule="auto"/>
        <w:rPr>
          <w:rFonts w:asciiTheme="minorEastAsia" w:hAnsiTheme="minorEastAsia" w:eastAsiaTheme="minorEastAsia"/>
          <w:color w:val="auto"/>
          <w:sz w:val="24"/>
          <w:szCs w:val="24"/>
          <w:highlight w:val="none"/>
        </w:rPr>
      </w:pPr>
      <w:bookmarkStart w:id="105" w:name="_Toc73848688"/>
      <w:bookmarkStart w:id="106" w:name="_Toc399326515"/>
      <w:bookmarkStart w:id="107" w:name="_Toc509906178"/>
      <w:bookmarkStart w:id="108" w:name="_Toc73848835"/>
      <w:bookmarkStart w:id="109" w:name="_Toc399318771"/>
      <w:bookmarkStart w:id="110" w:name="_Toc845335"/>
      <w:r>
        <w:rPr>
          <w:rFonts w:hint="eastAsia" w:asciiTheme="minorEastAsia" w:hAnsiTheme="minorEastAsia" w:eastAsiaTheme="minorEastAsia"/>
          <w:color w:val="auto"/>
          <w:sz w:val="24"/>
          <w:szCs w:val="24"/>
          <w:highlight w:val="none"/>
        </w:rPr>
        <w:t>7.2.1配合工程设计的资料和图纸</w:t>
      </w:r>
    </w:p>
    <w:p w14:paraId="2656CE0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7.2.3随机提供的资料：</w:t>
      </w:r>
    </w:p>
    <w:p w14:paraId="260CD84B">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7.2.3.1供货清单、易损件清单、备品备件表、装箱清单；</w:t>
      </w:r>
    </w:p>
    <w:p w14:paraId="479CE22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7.2.3.2随设备按常规向招标人提供的设备图纸及安装使用说明书。</w:t>
      </w:r>
    </w:p>
    <w:p w14:paraId="0D159CFA">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7.2.3.3随设备提供产品质量合格证明书；</w:t>
      </w:r>
    </w:p>
    <w:p w14:paraId="7D4B2F25">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7.2.3.4随设备提供产品性能试验报告；</w:t>
      </w:r>
    </w:p>
    <w:p w14:paraId="616D6150">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7.2.4设备监造检查所需要的技术资料</w:t>
      </w:r>
    </w:p>
    <w:p w14:paraId="092B69AB">
      <w:pPr>
        <w:spacing w:after="0"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投标人提供满足合同设备监造检查/见证所需要的全部技术资料。</w:t>
      </w:r>
    </w:p>
    <w:p w14:paraId="7B7BE3F8">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7.2.5施工、调试、试运、机组性能试验和运行维护所需的技术资料，包括但不限于：</w:t>
      </w:r>
    </w:p>
    <w:p w14:paraId="6725628F">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7.2.5.1提供设备安装、运行、调试和试运说明书，以及组装、拆卸时所需用的技术资料。</w:t>
      </w:r>
    </w:p>
    <w:p w14:paraId="7BA6FBC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7.2.5.2安装、运行、维护、检修所需的详尽图纸和技术资料（包括设备总图、部件总图、计算资料等）。</w:t>
      </w:r>
    </w:p>
    <w:p w14:paraId="19C06D5C">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7.2.5.3设备安装、运行、维护、检修说明书（包括设备结构特点、安装程序和工艺要求、启动调试要领、运行操作规定和控制数据、定期校验和维护说明等）。</w:t>
      </w:r>
    </w:p>
    <w:p w14:paraId="5127D3A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7.2.5.4投标人提供备品、配件清单。</w:t>
      </w:r>
    </w:p>
    <w:p w14:paraId="2042D011">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7.2.6投标人提供的其它技术资料，包括但不限于：</w:t>
      </w:r>
    </w:p>
    <w:p w14:paraId="63384E5D">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7.2.6.1检查记录、试验报告及质量合格证等出厂报告。</w:t>
      </w:r>
    </w:p>
    <w:p w14:paraId="624E472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7.2.6.2投标人提供在设计、制造时所遵循的规范、标准和规定清单。</w:t>
      </w:r>
    </w:p>
    <w:p w14:paraId="3104B404">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7.2.6.3设备和备品管理资料文件（包括设备和备品发运和装箱的详细资料，设备和备品存放与保管技术要求，运输超重、超大件的明细表和外形图）。</w:t>
      </w:r>
    </w:p>
    <w:p w14:paraId="56C878F2">
      <w:pPr>
        <w:spacing w:after="0"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7.2.6.4详细的产品质量文件，包括材质、材质检验、焊接、热处理、加工质量、外形尺寸、水压试验和性能试验等的证明。</w:t>
      </w:r>
      <w:r>
        <w:rPr>
          <w:rFonts w:asciiTheme="minorEastAsia" w:hAnsiTheme="minorEastAsia" w:eastAsiaTheme="minorEastAsia"/>
          <w:color w:val="auto"/>
          <w:sz w:val="24"/>
          <w:szCs w:val="24"/>
          <w:highlight w:val="none"/>
        </w:rPr>
        <w:br w:type="page"/>
      </w:r>
    </w:p>
    <w:bookmarkEnd w:id="105"/>
    <w:bookmarkEnd w:id="106"/>
    <w:bookmarkEnd w:id="107"/>
    <w:bookmarkEnd w:id="108"/>
    <w:bookmarkEnd w:id="109"/>
    <w:bookmarkEnd w:id="110"/>
    <w:p w14:paraId="6652F35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8监造、检验和性能验收试验</w:t>
      </w:r>
    </w:p>
    <w:p w14:paraId="634110F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bookmarkStart w:id="111" w:name="OLE_LINK48"/>
      <w:r>
        <w:rPr>
          <w:rFonts w:hint="eastAsia" w:cs="仿宋" w:asciiTheme="minorEastAsia" w:hAnsiTheme="minorEastAsia" w:eastAsiaTheme="minorEastAsia"/>
          <w:bCs/>
          <w:color w:val="auto"/>
          <w:kern w:val="2"/>
          <w:sz w:val="24"/>
          <w:szCs w:val="24"/>
          <w:highlight w:val="none"/>
          <w:lang w:val="zh-CN"/>
        </w:rPr>
        <w:t>8.</w:t>
      </w:r>
      <w:bookmarkEnd w:id="111"/>
      <w:r>
        <w:rPr>
          <w:rFonts w:hint="eastAsia" w:cs="仿宋" w:asciiTheme="minorEastAsia" w:hAnsiTheme="minorEastAsia" w:eastAsiaTheme="minorEastAsia"/>
          <w:bCs/>
          <w:color w:val="auto"/>
          <w:kern w:val="2"/>
          <w:sz w:val="24"/>
          <w:szCs w:val="24"/>
          <w:highlight w:val="none"/>
          <w:lang w:val="zh-CN"/>
        </w:rPr>
        <w:t>1</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概述</w:t>
      </w:r>
    </w:p>
    <w:p w14:paraId="7A4DC1CE">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8.1.1  本章用于合同执行期间对投标方所提供的设备（包括对分包外购设备）进行检验、监造和性能验收试验，确保投标方所提供的设备符合</w:t>
      </w:r>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r>
        <w:rPr>
          <w:rFonts w:hint="eastAsia" w:cs="仿宋" w:asciiTheme="minorEastAsia" w:hAnsiTheme="minorEastAsia" w:eastAsiaTheme="minorEastAsia"/>
          <w:bCs/>
          <w:color w:val="auto"/>
          <w:kern w:val="2"/>
          <w:sz w:val="24"/>
          <w:szCs w:val="24"/>
          <w:highlight w:val="none"/>
          <w:lang w:val="zh-CN"/>
        </w:rPr>
        <w:t>规定的要求。</w:t>
      </w:r>
    </w:p>
    <w:p w14:paraId="7C05C8C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8.1.2  投标方应在本合同生效后3个月内，向招标方提供与本合同设备有关的监造、检验、性能验收试验标准。有关标准应符合</w:t>
      </w:r>
      <w:bookmarkStart w:id="112" w:name="OLE_LINK63"/>
      <w:bookmarkStart w:id="113" w:name="OLE_LINK62"/>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bookmarkEnd w:id="112"/>
      <w:bookmarkEnd w:id="113"/>
      <w:r>
        <w:rPr>
          <w:rFonts w:hint="eastAsia" w:cs="仿宋" w:asciiTheme="minorEastAsia" w:hAnsiTheme="minorEastAsia" w:eastAsiaTheme="minorEastAsia"/>
          <w:bCs/>
          <w:color w:val="auto"/>
          <w:kern w:val="2"/>
          <w:sz w:val="24"/>
          <w:szCs w:val="24"/>
          <w:highlight w:val="none"/>
          <w:lang w:val="zh-CN"/>
        </w:rPr>
        <w:t>的规定。</w:t>
      </w:r>
    </w:p>
    <w:p w14:paraId="501906A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工厂检验</w:t>
      </w:r>
    </w:p>
    <w:p w14:paraId="17A180CB">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8.2.1  工厂检验是质量控制的一个重要组成部分。投标方须严格进行厂内各生产环节的检验和试验。投标方提供的合同设备须签发质量证明、检验记录和测试报告，并且作为交货时质量证明文件的组成部分。</w:t>
      </w:r>
    </w:p>
    <w:p w14:paraId="6D4141DF">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8.2.2  检验的范围包括原材料和元器件的进厂，部件的加工、组装、试验至出厂试验。</w:t>
      </w:r>
    </w:p>
    <w:p w14:paraId="7B1D3672">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 xml:space="preserve">8.2.3  投标方检验的结果要满足”4 技术规范”的要求，如有不符之处或达不到标准要求，投标方要采取措施处理直至满足要求，同时向招标方提交不一致性报告。投标方发生重大质量问题时应将情况及时通知招标方。  </w:t>
      </w:r>
    </w:p>
    <w:p w14:paraId="6BF78776">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8.2.4  工厂检验的所有费用包括在合同总价之中。</w:t>
      </w:r>
    </w:p>
    <w:p w14:paraId="0F952A5F">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设备监造</w:t>
      </w:r>
    </w:p>
    <w:p w14:paraId="695C5D0D">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8.3.1  监造依据</w:t>
      </w:r>
    </w:p>
    <w:p w14:paraId="11DC4966">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 xml:space="preserve">    根据本合同和原电力工业部、机械工业部有关文件的规定，以及国家有关规定。</w:t>
      </w:r>
    </w:p>
    <w:p w14:paraId="51B17D3B">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8.3.2  监造方式</w:t>
      </w:r>
    </w:p>
    <w:p w14:paraId="46402BFA">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 xml:space="preserve">    文件见证、现场见证和停工待检，即 R点、W点、H点。每次监造内容完成后，投标方和监造代表均须在见证表上履行签字手续。投标人复印3份，交监造代表1份。</w:t>
      </w:r>
    </w:p>
    <w:p w14:paraId="12608BA8">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bookmarkStart w:id="114" w:name="OLE_LINK52"/>
      <w:bookmarkStart w:id="115" w:name="OLE_LINK51"/>
      <w:r>
        <w:rPr>
          <w:rFonts w:hint="eastAsia" w:cs="仿宋" w:asciiTheme="minorEastAsia" w:hAnsiTheme="minorEastAsia" w:eastAsiaTheme="minorEastAsia"/>
          <w:bCs/>
          <w:color w:val="auto"/>
          <w:kern w:val="2"/>
          <w:sz w:val="24"/>
          <w:szCs w:val="24"/>
          <w:highlight w:val="none"/>
          <w:lang w:val="zh-CN"/>
        </w:rPr>
        <w:t>8.</w:t>
      </w:r>
      <w:bookmarkEnd w:id="114"/>
      <w:bookmarkEnd w:id="115"/>
      <w:r>
        <w:rPr>
          <w:rFonts w:hint="eastAsia" w:cs="仿宋" w:asciiTheme="minorEastAsia" w:hAnsiTheme="minorEastAsia" w:eastAsiaTheme="minorEastAsia"/>
          <w:bCs/>
          <w:color w:val="auto"/>
          <w:kern w:val="2"/>
          <w:sz w:val="24"/>
          <w:szCs w:val="24"/>
          <w:highlight w:val="none"/>
          <w:lang w:val="zh-CN"/>
        </w:rPr>
        <w:t>3.3监造内容</w:t>
      </w:r>
    </w:p>
    <w:p w14:paraId="3349664C">
      <w:pPr>
        <w:spacing w:line="360" w:lineRule="auto"/>
        <w:ind w:left="42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具体内容和监造方式由招投标双方确定。</w:t>
      </w:r>
    </w:p>
    <w:p w14:paraId="536F5138">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监造项目及方式（投标方投标时填写）</w:t>
      </w:r>
    </w:p>
    <w:tbl>
      <w:tblPr>
        <w:tblStyle w:val="58"/>
        <w:tblW w:w="8695" w:type="dxa"/>
        <w:tblInd w:w="-20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05"/>
        <w:gridCol w:w="4465"/>
        <w:gridCol w:w="705"/>
        <w:gridCol w:w="705"/>
        <w:gridCol w:w="705"/>
        <w:gridCol w:w="1410"/>
      </w:tblGrid>
      <w:tr w14:paraId="0B076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blHeader/>
        </w:trPr>
        <w:tc>
          <w:tcPr>
            <w:tcW w:w="705" w:type="dxa"/>
            <w:tcBorders>
              <w:top w:val="single" w:color="auto" w:sz="12" w:space="0"/>
              <w:left w:val="single" w:color="auto" w:sz="12" w:space="0"/>
              <w:bottom w:val="nil"/>
            </w:tcBorders>
          </w:tcPr>
          <w:p w14:paraId="16D1A84E">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序</w:t>
            </w:r>
          </w:p>
        </w:tc>
        <w:tc>
          <w:tcPr>
            <w:tcW w:w="4465" w:type="dxa"/>
            <w:tcBorders>
              <w:top w:val="single" w:color="auto" w:sz="12" w:space="0"/>
              <w:bottom w:val="nil"/>
            </w:tcBorders>
          </w:tcPr>
          <w:p w14:paraId="183B29D0">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目</w:t>
            </w:r>
          </w:p>
        </w:tc>
        <w:tc>
          <w:tcPr>
            <w:tcW w:w="2115" w:type="dxa"/>
            <w:gridSpan w:val="3"/>
            <w:tcBorders>
              <w:top w:val="single" w:color="auto" w:sz="12" w:space="0"/>
              <w:bottom w:val="nil"/>
            </w:tcBorders>
          </w:tcPr>
          <w:p w14:paraId="37478230">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监</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造</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方</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式</w:t>
            </w:r>
          </w:p>
        </w:tc>
        <w:tc>
          <w:tcPr>
            <w:tcW w:w="1410" w:type="dxa"/>
            <w:tcBorders>
              <w:top w:val="single" w:color="auto" w:sz="12" w:space="0"/>
              <w:bottom w:val="nil"/>
              <w:right w:val="single" w:color="auto" w:sz="12" w:space="0"/>
            </w:tcBorders>
          </w:tcPr>
          <w:p w14:paraId="131C2F63">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备</w:t>
            </w:r>
          </w:p>
        </w:tc>
      </w:tr>
      <w:tr w14:paraId="2A8F4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trPr>
        <w:tc>
          <w:tcPr>
            <w:tcW w:w="705" w:type="dxa"/>
            <w:tcBorders>
              <w:top w:val="nil"/>
              <w:left w:val="single" w:color="auto" w:sz="12" w:space="0"/>
            </w:tcBorders>
          </w:tcPr>
          <w:p w14:paraId="45ED6E9E">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号</w:t>
            </w:r>
          </w:p>
        </w:tc>
        <w:tc>
          <w:tcPr>
            <w:tcW w:w="4465" w:type="dxa"/>
            <w:tcBorders>
              <w:top w:val="nil"/>
            </w:tcBorders>
          </w:tcPr>
          <w:p w14:paraId="368553DA">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内</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容</w:t>
            </w:r>
          </w:p>
        </w:tc>
        <w:tc>
          <w:tcPr>
            <w:tcW w:w="705" w:type="dxa"/>
          </w:tcPr>
          <w:p w14:paraId="45D8E50A">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H</w:t>
            </w:r>
          </w:p>
        </w:tc>
        <w:tc>
          <w:tcPr>
            <w:tcW w:w="705" w:type="dxa"/>
          </w:tcPr>
          <w:p w14:paraId="5645DF2D">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W</w:t>
            </w:r>
          </w:p>
        </w:tc>
        <w:tc>
          <w:tcPr>
            <w:tcW w:w="705" w:type="dxa"/>
          </w:tcPr>
          <w:p w14:paraId="3B30C2F8">
            <w:pPr>
              <w:keepNext/>
              <w:spacing w:line="360" w:lineRule="auto"/>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 xml:space="preserve">  R</w:t>
            </w:r>
          </w:p>
        </w:tc>
        <w:tc>
          <w:tcPr>
            <w:tcW w:w="1410" w:type="dxa"/>
            <w:tcBorders>
              <w:top w:val="nil"/>
              <w:right w:val="single" w:color="auto" w:sz="12" w:space="0"/>
            </w:tcBorders>
          </w:tcPr>
          <w:p w14:paraId="33567476">
            <w:pPr>
              <w:keepNext/>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注</w:t>
            </w:r>
          </w:p>
        </w:tc>
      </w:tr>
      <w:tr w14:paraId="047779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705" w:type="dxa"/>
            <w:tcBorders>
              <w:left w:val="single" w:color="auto" w:sz="12" w:space="0"/>
            </w:tcBorders>
          </w:tcPr>
          <w:p w14:paraId="5420C21E">
            <w:pPr>
              <w:spacing w:line="360" w:lineRule="auto"/>
              <w:rPr>
                <w:rFonts w:asciiTheme="minorEastAsia" w:hAnsiTheme="minorEastAsia" w:eastAsiaTheme="minorEastAsia"/>
                <w:color w:val="auto"/>
                <w:sz w:val="24"/>
                <w:szCs w:val="24"/>
                <w:highlight w:val="none"/>
              </w:rPr>
            </w:pPr>
          </w:p>
        </w:tc>
        <w:tc>
          <w:tcPr>
            <w:tcW w:w="4465" w:type="dxa"/>
          </w:tcPr>
          <w:p w14:paraId="25F6D538">
            <w:pPr>
              <w:spacing w:line="360" w:lineRule="auto"/>
              <w:rPr>
                <w:rFonts w:asciiTheme="minorEastAsia" w:hAnsiTheme="minorEastAsia" w:eastAsiaTheme="minorEastAsia"/>
                <w:color w:val="auto"/>
                <w:sz w:val="24"/>
                <w:szCs w:val="24"/>
                <w:highlight w:val="none"/>
              </w:rPr>
            </w:pPr>
          </w:p>
        </w:tc>
        <w:tc>
          <w:tcPr>
            <w:tcW w:w="705" w:type="dxa"/>
          </w:tcPr>
          <w:p w14:paraId="208A4DC7">
            <w:pPr>
              <w:spacing w:line="360" w:lineRule="auto"/>
              <w:rPr>
                <w:rFonts w:asciiTheme="minorEastAsia" w:hAnsiTheme="minorEastAsia" w:eastAsiaTheme="minorEastAsia"/>
                <w:color w:val="auto"/>
                <w:sz w:val="24"/>
                <w:szCs w:val="24"/>
                <w:highlight w:val="none"/>
              </w:rPr>
            </w:pPr>
          </w:p>
        </w:tc>
        <w:tc>
          <w:tcPr>
            <w:tcW w:w="705" w:type="dxa"/>
          </w:tcPr>
          <w:p w14:paraId="67E7043E">
            <w:pPr>
              <w:spacing w:line="360" w:lineRule="auto"/>
              <w:rPr>
                <w:rFonts w:asciiTheme="minorEastAsia" w:hAnsiTheme="minorEastAsia" w:eastAsiaTheme="minorEastAsia"/>
                <w:color w:val="auto"/>
                <w:sz w:val="24"/>
                <w:szCs w:val="24"/>
                <w:highlight w:val="none"/>
              </w:rPr>
            </w:pPr>
          </w:p>
        </w:tc>
        <w:tc>
          <w:tcPr>
            <w:tcW w:w="705" w:type="dxa"/>
          </w:tcPr>
          <w:p w14:paraId="478CA8B9">
            <w:pPr>
              <w:spacing w:line="360" w:lineRule="auto"/>
              <w:rPr>
                <w:rFonts w:asciiTheme="minorEastAsia" w:hAnsiTheme="minorEastAsia" w:eastAsiaTheme="minorEastAsia"/>
                <w:color w:val="auto"/>
                <w:sz w:val="24"/>
                <w:szCs w:val="24"/>
                <w:highlight w:val="none"/>
              </w:rPr>
            </w:pPr>
          </w:p>
        </w:tc>
        <w:tc>
          <w:tcPr>
            <w:tcW w:w="1410" w:type="dxa"/>
            <w:tcBorders>
              <w:right w:val="single" w:color="auto" w:sz="12" w:space="0"/>
            </w:tcBorders>
          </w:tcPr>
          <w:p w14:paraId="7AC3CFAE">
            <w:pPr>
              <w:spacing w:line="360" w:lineRule="auto"/>
              <w:rPr>
                <w:rFonts w:asciiTheme="minorEastAsia" w:hAnsiTheme="minorEastAsia" w:eastAsiaTheme="minorEastAsia"/>
                <w:color w:val="auto"/>
                <w:sz w:val="24"/>
                <w:szCs w:val="24"/>
                <w:highlight w:val="none"/>
              </w:rPr>
            </w:pPr>
          </w:p>
        </w:tc>
      </w:tr>
      <w:tr w14:paraId="745E8A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705" w:type="dxa"/>
            <w:tcBorders>
              <w:left w:val="single" w:color="auto" w:sz="12" w:space="0"/>
            </w:tcBorders>
          </w:tcPr>
          <w:p w14:paraId="01672CAF">
            <w:pPr>
              <w:spacing w:line="360" w:lineRule="auto"/>
              <w:rPr>
                <w:rFonts w:asciiTheme="minorEastAsia" w:hAnsiTheme="minorEastAsia" w:eastAsiaTheme="minorEastAsia"/>
                <w:color w:val="auto"/>
                <w:sz w:val="24"/>
                <w:szCs w:val="24"/>
                <w:highlight w:val="none"/>
              </w:rPr>
            </w:pPr>
          </w:p>
        </w:tc>
        <w:tc>
          <w:tcPr>
            <w:tcW w:w="4465" w:type="dxa"/>
          </w:tcPr>
          <w:p w14:paraId="5AEE0F2E">
            <w:pPr>
              <w:spacing w:line="360" w:lineRule="auto"/>
              <w:rPr>
                <w:rFonts w:asciiTheme="minorEastAsia" w:hAnsiTheme="minorEastAsia" w:eastAsiaTheme="minorEastAsia"/>
                <w:color w:val="auto"/>
                <w:sz w:val="24"/>
                <w:szCs w:val="24"/>
                <w:highlight w:val="none"/>
              </w:rPr>
            </w:pPr>
          </w:p>
        </w:tc>
        <w:tc>
          <w:tcPr>
            <w:tcW w:w="705" w:type="dxa"/>
          </w:tcPr>
          <w:p w14:paraId="7943F526">
            <w:pPr>
              <w:spacing w:line="360" w:lineRule="auto"/>
              <w:rPr>
                <w:rFonts w:asciiTheme="minorEastAsia" w:hAnsiTheme="minorEastAsia" w:eastAsiaTheme="minorEastAsia"/>
                <w:color w:val="auto"/>
                <w:sz w:val="24"/>
                <w:szCs w:val="24"/>
                <w:highlight w:val="none"/>
              </w:rPr>
            </w:pPr>
          </w:p>
        </w:tc>
        <w:tc>
          <w:tcPr>
            <w:tcW w:w="705" w:type="dxa"/>
          </w:tcPr>
          <w:p w14:paraId="54ECF8CA">
            <w:pPr>
              <w:spacing w:line="360" w:lineRule="auto"/>
              <w:rPr>
                <w:rFonts w:asciiTheme="minorEastAsia" w:hAnsiTheme="minorEastAsia" w:eastAsiaTheme="minorEastAsia"/>
                <w:color w:val="auto"/>
                <w:sz w:val="24"/>
                <w:szCs w:val="24"/>
                <w:highlight w:val="none"/>
              </w:rPr>
            </w:pPr>
          </w:p>
        </w:tc>
        <w:tc>
          <w:tcPr>
            <w:tcW w:w="705" w:type="dxa"/>
          </w:tcPr>
          <w:p w14:paraId="1473512A">
            <w:pPr>
              <w:spacing w:line="360" w:lineRule="auto"/>
              <w:rPr>
                <w:rFonts w:asciiTheme="minorEastAsia" w:hAnsiTheme="minorEastAsia" w:eastAsiaTheme="minorEastAsia"/>
                <w:color w:val="auto"/>
                <w:sz w:val="24"/>
                <w:szCs w:val="24"/>
                <w:highlight w:val="none"/>
              </w:rPr>
            </w:pPr>
          </w:p>
        </w:tc>
        <w:tc>
          <w:tcPr>
            <w:tcW w:w="1410" w:type="dxa"/>
            <w:tcBorders>
              <w:right w:val="single" w:color="auto" w:sz="12" w:space="0"/>
            </w:tcBorders>
          </w:tcPr>
          <w:p w14:paraId="727BD8C9">
            <w:pPr>
              <w:spacing w:line="360" w:lineRule="auto"/>
              <w:rPr>
                <w:rFonts w:asciiTheme="minorEastAsia" w:hAnsiTheme="minorEastAsia" w:eastAsiaTheme="minorEastAsia"/>
                <w:color w:val="auto"/>
                <w:sz w:val="24"/>
                <w:szCs w:val="24"/>
                <w:highlight w:val="none"/>
              </w:rPr>
            </w:pPr>
          </w:p>
        </w:tc>
      </w:tr>
      <w:tr w14:paraId="36589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Pr>
        <w:tc>
          <w:tcPr>
            <w:tcW w:w="705" w:type="dxa"/>
            <w:tcBorders>
              <w:left w:val="single" w:color="auto" w:sz="12" w:space="0"/>
            </w:tcBorders>
          </w:tcPr>
          <w:p w14:paraId="6FD81892">
            <w:pPr>
              <w:spacing w:line="360" w:lineRule="auto"/>
              <w:rPr>
                <w:rFonts w:asciiTheme="minorEastAsia" w:hAnsiTheme="minorEastAsia" w:eastAsiaTheme="minorEastAsia"/>
                <w:color w:val="auto"/>
                <w:sz w:val="24"/>
                <w:szCs w:val="24"/>
                <w:highlight w:val="none"/>
              </w:rPr>
            </w:pPr>
          </w:p>
        </w:tc>
        <w:tc>
          <w:tcPr>
            <w:tcW w:w="4465" w:type="dxa"/>
          </w:tcPr>
          <w:p w14:paraId="0366990C">
            <w:pPr>
              <w:spacing w:line="360" w:lineRule="auto"/>
              <w:rPr>
                <w:rFonts w:asciiTheme="minorEastAsia" w:hAnsiTheme="minorEastAsia" w:eastAsiaTheme="minorEastAsia"/>
                <w:color w:val="auto"/>
                <w:sz w:val="24"/>
                <w:szCs w:val="24"/>
                <w:highlight w:val="none"/>
              </w:rPr>
            </w:pPr>
          </w:p>
        </w:tc>
        <w:tc>
          <w:tcPr>
            <w:tcW w:w="705" w:type="dxa"/>
          </w:tcPr>
          <w:p w14:paraId="28511E53">
            <w:pPr>
              <w:spacing w:line="360" w:lineRule="auto"/>
              <w:rPr>
                <w:rFonts w:asciiTheme="minorEastAsia" w:hAnsiTheme="minorEastAsia" w:eastAsiaTheme="minorEastAsia"/>
                <w:color w:val="auto"/>
                <w:sz w:val="24"/>
                <w:szCs w:val="24"/>
                <w:highlight w:val="none"/>
              </w:rPr>
            </w:pPr>
          </w:p>
        </w:tc>
        <w:tc>
          <w:tcPr>
            <w:tcW w:w="705" w:type="dxa"/>
          </w:tcPr>
          <w:p w14:paraId="6FDE4EC9">
            <w:pPr>
              <w:spacing w:line="360" w:lineRule="auto"/>
              <w:rPr>
                <w:rFonts w:asciiTheme="minorEastAsia" w:hAnsiTheme="minorEastAsia" w:eastAsiaTheme="minorEastAsia"/>
                <w:color w:val="auto"/>
                <w:sz w:val="24"/>
                <w:szCs w:val="24"/>
                <w:highlight w:val="none"/>
              </w:rPr>
            </w:pPr>
          </w:p>
        </w:tc>
        <w:tc>
          <w:tcPr>
            <w:tcW w:w="705" w:type="dxa"/>
          </w:tcPr>
          <w:p w14:paraId="4E6C251B">
            <w:pPr>
              <w:spacing w:line="360" w:lineRule="auto"/>
              <w:rPr>
                <w:rFonts w:asciiTheme="minorEastAsia" w:hAnsiTheme="minorEastAsia" w:eastAsiaTheme="minorEastAsia"/>
                <w:color w:val="auto"/>
                <w:sz w:val="24"/>
                <w:szCs w:val="24"/>
                <w:highlight w:val="none"/>
              </w:rPr>
            </w:pPr>
          </w:p>
        </w:tc>
        <w:tc>
          <w:tcPr>
            <w:tcW w:w="1410" w:type="dxa"/>
            <w:tcBorders>
              <w:right w:val="single" w:color="auto" w:sz="12" w:space="0"/>
            </w:tcBorders>
          </w:tcPr>
          <w:p w14:paraId="6E5DFEC3">
            <w:pPr>
              <w:spacing w:line="360" w:lineRule="auto"/>
              <w:rPr>
                <w:rFonts w:asciiTheme="minorEastAsia" w:hAnsiTheme="minorEastAsia" w:eastAsiaTheme="minorEastAsia"/>
                <w:color w:val="auto"/>
                <w:sz w:val="24"/>
                <w:szCs w:val="24"/>
                <w:highlight w:val="none"/>
              </w:rPr>
            </w:pPr>
          </w:p>
        </w:tc>
      </w:tr>
    </w:tbl>
    <w:p w14:paraId="74258DC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8.3.4  对投标方配合监造的要求：</w:t>
      </w:r>
    </w:p>
    <w:p w14:paraId="353A0C4A">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投标方为招标方提供以下方便：</w:t>
      </w:r>
    </w:p>
    <w:p w14:paraId="6558BD4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（1）提前10天将设备监造项目及检验时间通知招标方，监造项目和方式由招投标双方协商确定。</w:t>
      </w:r>
    </w:p>
    <w:p w14:paraId="59821EC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（2）招标方有权通过投标方有关部门查（借）阅合同及与本合同设备有关的标准、图纸、资料、工艺及检验记录（包括之间检验记录），如招标方认为有必要复印，投标方应提供方便。</w:t>
      </w:r>
    </w:p>
    <w:p w14:paraId="31359DA1">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3）招标方人员在监造过程中如发现设备和材料缺陷或不符合规定的标准要求时，招标方有权提出意见，投标方应采取相应改进措施，以保证设备质量。无论招标方是否要求和知道，投标方均应主动及时向招标方提供合同设备制造过程中出现的较大的质量缺陷和问题，不得隐瞒。在招标方不知道的情况下投标方不得擅自处理。</w:t>
      </w:r>
    </w:p>
    <w:p w14:paraId="55FF51A3">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w:t>
      </w:r>
      <w:r>
        <w:rPr>
          <w:rFonts w:hint="eastAsia" w:cs="仿宋" w:asciiTheme="minorEastAsia" w:hAnsiTheme="minorEastAsia" w:eastAsiaTheme="minorEastAsia"/>
          <w:bCs/>
          <w:color w:val="auto"/>
          <w:kern w:val="2"/>
          <w:sz w:val="24"/>
          <w:szCs w:val="24"/>
          <w:highlight w:val="none"/>
          <w:lang w:val="zh-CN"/>
        </w:rPr>
        <w:tab/>
      </w:r>
      <w:r>
        <w:rPr>
          <w:rFonts w:hint="eastAsia" w:cs="仿宋" w:asciiTheme="minorEastAsia" w:hAnsiTheme="minorEastAsia" w:eastAsiaTheme="minorEastAsia"/>
          <w:bCs/>
          <w:color w:val="auto"/>
          <w:kern w:val="2"/>
          <w:sz w:val="24"/>
          <w:szCs w:val="24"/>
          <w:highlight w:val="none"/>
          <w:lang w:val="zh-CN"/>
        </w:rPr>
        <w:t>性能验收试验</w:t>
      </w:r>
    </w:p>
    <w:p w14:paraId="3E91B73F">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8.4.1  性能验收试验目的为了检验合同设备的所有性能时否符合</w:t>
      </w:r>
      <w:bookmarkStart w:id="116" w:name="OLE_LINK60"/>
      <w:bookmarkStart w:id="117" w:name="OLE_LINK61"/>
      <w:bookmarkStart w:id="118" w:name="OLE_LINK59"/>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bookmarkEnd w:id="116"/>
      <w:bookmarkEnd w:id="117"/>
      <w:bookmarkEnd w:id="118"/>
      <w:r>
        <w:rPr>
          <w:rFonts w:hint="eastAsia" w:cs="仿宋" w:asciiTheme="minorEastAsia" w:hAnsiTheme="minorEastAsia" w:eastAsiaTheme="minorEastAsia"/>
          <w:bCs/>
          <w:color w:val="auto"/>
          <w:kern w:val="2"/>
          <w:sz w:val="24"/>
          <w:szCs w:val="24"/>
          <w:highlight w:val="none"/>
          <w:lang w:val="zh-CN"/>
        </w:rPr>
        <w:t>的要求。</w:t>
      </w:r>
    </w:p>
    <w:p w14:paraId="4822C322">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8.4.2  性能验收试验的地点为招标方现场。</w:t>
      </w:r>
    </w:p>
    <w:p w14:paraId="21D663CC">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8.4.3  性能试验的时间：试验在系统正常运行168小时之后一个月内进行，具体试验时间由招标方商投标方确定。</w:t>
      </w:r>
    </w:p>
    <w:p w14:paraId="53D22820">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8.4.4投标方检验的结果要满足</w:t>
      </w:r>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r>
        <w:rPr>
          <w:rFonts w:hint="eastAsia" w:cs="仿宋" w:asciiTheme="minorEastAsia" w:hAnsiTheme="minorEastAsia" w:eastAsiaTheme="minorEastAsia"/>
          <w:bCs/>
          <w:color w:val="auto"/>
          <w:kern w:val="2"/>
          <w:sz w:val="24"/>
          <w:szCs w:val="24"/>
          <w:highlight w:val="none"/>
          <w:lang w:val="zh-CN"/>
        </w:rPr>
        <w:t>的要求，如有不符之处或达不到标准要求，投标方要采取措施处理直至满足要求，同时向招标方提交不一致性报告。投标方发生重大质量问题时应将情况及时通知招标方。</w:t>
      </w:r>
    </w:p>
    <w:p w14:paraId="37679750">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r>
        <w:rPr>
          <w:rFonts w:hint="eastAsia" w:cs="仿宋" w:asciiTheme="minorEastAsia" w:hAnsiTheme="minorEastAsia" w:eastAsiaTheme="minorEastAsia"/>
          <w:bCs/>
          <w:color w:val="auto"/>
          <w:kern w:val="2"/>
          <w:sz w:val="24"/>
          <w:szCs w:val="24"/>
          <w:highlight w:val="none"/>
          <w:lang w:val="zh-CN"/>
        </w:rPr>
        <w:t>8.4.5设备到货后经标准仪器校验应达到</w:t>
      </w:r>
      <w:r>
        <w:rPr>
          <w:rFonts w:cs="仿宋" w:asciiTheme="minorEastAsia" w:hAnsiTheme="minorEastAsia" w:eastAsiaTheme="minorEastAsia"/>
          <w:bCs/>
          <w:color w:val="auto"/>
          <w:kern w:val="2"/>
          <w:sz w:val="24"/>
          <w:szCs w:val="24"/>
          <w:highlight w:val="none"/>
          <w:lang w:val="zh-CN"/>
        </w:rPr>
        <w:t>“4</w:t>
      </w:r>
      <w:r>
        <w:rPr>
          <w:rFonts w:hint="eastAsia" w:cs="仿宋" w:asciiTheme="minorEastAsia" w:hAnsiTheme="minorEastAsia" w:eastAsiaTheme="minorEastAsia"/>
          <w:bCs/>
          <w:color w:val="auto"/>
          <w:kern w:val="2"/>
          <w:sz w:val="24"/>
          <w:szCs w:val="24"/>
          <w:highlight w:val="none"/>
          <w:lang w:val="zh-CN"/>
        </w:rPr>
        <w:t xml:space="preserve"> 技术规范</w:t>
      </w:r>
      <w:r>
        <w:rPr>
          <w:rFonts w:cs="仿宋" w:asciiTheme="minorEastAsia" w:hAnsiTheme="minorEastAsia" w:eastAsiaTheme="minorEastAsia"/>
          <w:bCs/>
          <w:color w:val="auto"/>
          <w:kern w:val="2"/>
          <w:sz w:val="24"/>
          <w:szCs w:val="24"/>
          <w:highlight w:val="none"/>
          <w:lang w:val="zh-CN"/>
        </w:rPr>
        <w:t>”</w:t>
      </w:r>
      <w:r>
        <w:rPr>
          <w:rFonts w:hint="eastAsia" w:cs="仿宋" w:asciiTheme="minorEastAsia" w:hAnsiTheme="minorEastAsia" w:eastAsiaTheme="minorEastAsia"/>
          <w:bCs/>
          <w:color w:val="auto"/>
          <w:kern w:val="2"/>
          <w:sz w:val="24"/>
          <w:szCs w:val="24"/>
          <w:highlight w:val="none"/>
          <w:lang w:val="zh-CN"/>
        </w:rPr>
        <w:t>要求的标准。</w:t>
      </w:r>
    </w:p>
    <w:p w14:paraId="15A7BA3C">
      <w:pPr>
        <w:keepNext/>
        <w:widowControl w:val="0"/>
        <w:spacing w:before="120" w:after="120" w:line="360" w:lineRule="auto"/>
        <w:outlineLvl w:val="2"/>
        <w:rPr>
          <w:rFonts w:cs="仿宋" w:asciiTheme="minorEastAsia" w:hAnsiTheme="minorEastAsia" w:eastAsiaTheme="minorEastAsia"/>
          <w:bCs/>
          <w:color w:val="auto"/>
          <w:kern w:val="2"/>
          <w:sz w:val="24"/>
          <w:szCs w:val="24"/>
          <w:highlight w:val="none"/>
          <w:lang w:val="zh-CN"/>
        </w:rPr>
      </w:pPr>
    </w:p>
    <w:p w14:paraId="6D12903C">
      <w:pPr>
        <w:keepNext/>
        <w:spacing w:before="140" w:after="140" w:line="360" w:lineRule="auto"/>
        <w:outlineLvl w:val="1"/>
        <w:rPr>
          <w:rFonts w:ascii="仿宋" w:hAnsi="仿宋" w:eastAsia="仿宋" w:cs="仿宋"/>
          <w:b/>
          <w:bCs/>
          <w:color w:val="auto"/>
          <w:kern w:val="2"/>
          <w:sz w:val="24"/>
          <w:szCs w:val="24"/>
          <w:highlight w:val="none"/>
        </w:rPr>
      </w:pPr>
      <w:bookmarkStart w:id="119" w:name="_Toc4994"/>
      <w:bookmarkStart w:id="120" w:name="_Toc11250"/>
      <w:bookmarkStart w:id="121" w:name="_Toc18388"/>
      <w:bookmarkStart w:id="122" w:name="_Toc523807133"/>
      <w:bookmarkStart w:id="123" w:name="_Toc293238361"/>
      <w:bookmarkStart w:id="124" w:name="_Toc523547855"/>
      <w:r>
        <w:rPr>
          <w:rFonts w:hint="eastAsia" w:ascii="仿宋" w:hAnsi="仿宋" w:eastAsia="仿宋" w:cs="仿宋"/>
          <w:b/>
          <w:bCs/>
          <w:color w:val="auto"/>
          <w:kern w:val="2"/>
          <w:sz w:val="24"/>
          <w:szCs w:val="24"/>
          <w:highlight w:val="none"/>
        </w:rPr>
        <w:t>9. 招标文件附图</w:t>
      </w:r>
      <w:bookmarkEnd w:id="119"/>
      <w:bookmarkEnd w:id="120"/>
      <w:bookmarkEnd w:id="121"/>
    </w:p>
    <w:bookmarkEnd w:id="122"/>
    <w:bookmarkEnd w:id="123"/>
    <w:bookmarkEnd w:id="124"/>
    <w:p w14:paraId="6D8F1AD5">
      <w:pPr>
        <w:keepNext/>
        <w:widowControl w:val="0"/>
        <w:spacing w:before="120" w:after="120" w:line="360" w:lineRule="auto"/>
        <w:outlineLvl w:val="2"/>
        <w:rPr>
          <w:rFonts w:ascii="仿宋" w:hAnsi="仿宋" w:eastAsia="仿宋" w:cs="仿宋"/>
          <w:color w:val="auto"/>
          <w:kern w:val="2"/>
          <w:highlight w:val="none"/>
        </w:rPr>
      </w:pPr>
      <w:bookmarkStart w:id="125" w:name="_Toc689"/>
      <w:bookmarkStart w:id="126" w:name="_Toc32037"/>
      <w:r>
        <w:rPr>
          <w:rFonts w:hint="eastAsia" w:ascii="仿宋" w:hAnsi="仿宋" w:eastAsia="仿宋" w:cs="仿宋"/>
          <w:color w:val="auto"/>
          <w:kern w:val="2"/>
          <w:highlight w:val="none"/>
        </w:rPr>
        <w:t>9.1 壁温测点布置现状图（招标文件附图一）</w:t>
      </w:r>
      <w:bookmarkEnd w:id="125"/>
      <w:bookmarkEnd w:id="126"/>
    </w:p>
    <w:p w14:paraId="29C3DCD7">
      <w:pPr>
        <w:keepNext/>
        <w:widowControl w:val="0"/>
        <w:spacing w:before="120" w:after="120" w:line="360" w:lineRule="auto"/>
        <w:outlineLvl w:val="2"/>
        <w:rPr>
          <w:rFonts w:ascii="仿宋" w:hAnsi="仿宋" w:eastAsia="仿宋" w:cs="仿宋"/>
          <w:color w:val="auto"/>
          <w:kern w:val="2"/>
          <w:highlight w:val="none"/>
        </w:rPr>
      </w:pPr>
      <w:bookmarkStart w:id="127" w:name="_Toc11666"/>
      <w:bookmarkStart w:id="128" w:name="_Toc14549"/>
      <w:r>
        <w:rPr>
          <w:rFonts w:hint="eastAsia" w:ascii="仿宋" w:hAnsi="仿宋" w:eastAsia="仿宋" w:cs="仿宋"/>
          <w:color w:val="auto"/>
          <w:kern w:val="2"/>
          <w:highlight w:val="none"/>
        </w:rPr>
        <w:t xml:space="preserve">9.2 </w:t>
      </w:r>
      <w:bookmarkStart w:id="129" w:name="OLE_LINK69"/>
      <w:bookmarkStart w:id="130" w:name="OLE_LINK68"/>
      <w:r>
        <w:rPr>
          <w:rFonts w:hint="eastAsia" w:ascii="仿宋" w:hAnsi="仿宋" w:eastAsia="仿宋" w:cs="仿宋"/>
          <w:color w:val="auto"/>
          <w:kern w:val="2"/>
          <w:highlight w:val="none"/>
        </w:rPr>
        <w:t>壁温系统升级改造</w:t>
      </w:r>
      <w:bookmarkEnd w:id="129"/>
      <w:bookmarkEnd w:id="130"/>
      <w:r>
        <w:rPr>
          <w:rFonts w:hint="eastAsia" w:ascii="仿宋" w:hAnsi="仿宋" w:eastAsia="仿宋" w:cs="仿宋"/>
          <w:color w:val="auto"/>
          <w:kern w:val="2"/>
          <w:highlight w:val="none"/>
        </w:rPr>
        <w:t>布置图（招标文件附图二）</w:t>
      </w:r>
      <w:bookmarkEnd w:id="127"/>
      <w:bookmarkEnd w:id="128"/>
    </w:p>
    <w:p w14:paraId="6A7D6A34">
      <w:pPr>
        <w:spacing w:after="120" w:afterLines="50" w:line="480" w:lineRule="auto"/>
        <w:jc w:val="both"/>
        <w:rPr>
          <w:rFonts w:ascii="Arial" w:eastAsia="黑体" w:cs="Arial"/>
          <w:bCs/>
          <w:sz w:val="44"/>
          <w:szCs w:val="21"/>
        </w:rPr>
      </w:pPr>
    </w:p>
    <w:sectPr>
      <w:headerReference r:id="rId7" w:type="default"/>
      <w:footerReference r:id="rId8"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Arial Narrow">
    <w:panose1 w:val="020B0606020202030204"/>
    <w:charset w:val="00"/>
    <w:family w:val="swiss"/>
    <w:pitch w:val="default"/>
    <w:sig w:usb0="00000287" w:usb1="00000800" w:usb2="00000000" w:usb3="00000000" w:csb0="2000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D3BF">
    <w:pPr>
      <w:pStyle w:val="36"/>
      <w:framePr w:wrap="around" w:vAnchor="text" w:hAnchor="margin" w:xAlign="center" w:y="1"/>
      <w:tabs>
        <w:tab w:val="center" w:pos="4819"/>
        <w:tab w:val="right" w:pos="9071"/>
        <w:tab w:val="clear" w:pos="4153"/>
        <w:tab w:val="clear" w:pos="8306"/>
      </w:tabs>
      <w:rPr>
        <w:rStyle w:val="62"/>
      </w:rPr>
    </w:pPr>
    <w:r>
      <w:fldChar w:fldCharType="begin"/>
    </w:r>
    <w:r>
      <w:rPr>
        <w:rStyle w:val="62"/>
      </w:rPr>
      <w:instrText xml:space="preserve">PAGE  </w:instrText>
    </w:r>
    <w:r>
      <w:fldChar w:fldCharType="separate"/>
    </w:r>
    <w:r>
      <w:rPr>
        <w:rStyle w:val="62"/>
      </w:rPr>
      <w:t>22</w:t>
    </w:r>
    <w:r>
      <w:fldChar w:fldCharType="end"/>
    </w:r>
  </w:p>
  <w:p w14:paraId="7F86D1C2">
    <w:pPr>
      <w:pStyle w:val="36"/>
      <w:pBdr>
        <w:top w:val="single" w:color="auto" w:sz="4" w:space="1"/>
      </w:pBdr>
      <w:tabs>
        <w:tab w:val="center" w:pos="4819"/>
        <w:tab w:val="right" w:pos="9071"/>
        <w:tab w:val="clear" w:pos="4153"/>
        <w:tab w:val="clear" w:pos="8306"/>
      </w:tabs>
      <w:ind w:right="360"/>
      <w:jc w:val="center"/>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8887A">
    <w:pPr>
      <w:pStyle w:val="36"/>
      <w:framePr w:wrap="around" w:vAnchor="text" w:hAnchor="margin" w:xAlign="center" w:y="1"/>
      <w:tabs>
        <w:tab w:val="center" w:pos="4819"/>
        <w:tab w:val="right" w:pos="9071"/>
        <w:tab w:val="clear" w:pos="4153"/>
        <w:tab w:val="clear" w:pos="8306"/>
      </w:tabs>
      <w:rPr>
        <w:rStyle w:val="62"/>
      </w:rPr>
    </w:pPr>
    <w:r>
      <w:fldChar w:fldCharType="begin"/>
    </w:r>
    <w:r>
      <w:rPr>
        <w:rStyle w:val="62"/>
      </w:rPr>
      <w:instrText xml:space="preserve">PAGE  </w:instrText>
    </w:r>
    <w:r>
      <w:fldChar w:fldCharType="end"/>
    </w:r>
  </w:p>
  <w:p w14:paraId="49DF08F1">
    <w:pPr>
      <w:pStyle w:val="36"/>
      <w:tabs>
        <w:tab w:val="center" w:pos="4819"/>
        <w:tab w:val="right" w:pos="9071"/>
        <w:tab w:val="clear" w:pos="4153"/>
        <w:tab w:val="clear"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06FC">
    <w:pPr>
      <w:pStyle w:val="36"/>
      <w:tabs>
        <w:tab w:val="center" w:pos="4819"/>
        <w:tab w:val="right" w:pos="9071"/>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713295"/>
      <w:docPartObj>
        <w:docPartGallery w:val="autotext"/>
      </w:docPartObj>
    </w:sdtPr>
    <w:sdtContent>
      <w:p w14:paraId="52190B60">
        <w:pPr>
          <w:pStyle w:val="36"/>
          <w:jc w:val="center"/>
        </w:pPr>
        <w:r>
          <w:fldChar w:fldCharType="begin"/>
        </w:r>
        <w:r>
          <w:instrText xml:space="preserve">PAGE   \* MERGEFORMAT</w:instrText>
        </w:r>
        <w:r>
          <w:fldChar w:fldCharType="separate"/>
        </w:r>
        <w:r>
          <w:rPr>
            <w:lang w:val="zh-CN"/>
          </w:rPr>
          <w:t>2</w:t>
        </w:r>
        <w:r>
          <w:fldChar w:fldCharType="end"/>
        </w:r>
      </w:p>
    </w:sdtContent>
  </w:sdt>
  <w:p w14:paraId="3A0499D4">
    <w:pPr>
      <w:pStyle w:val="36"/>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A28D1">
    <w:pPr>
      <w:pStyle w:val="3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7216;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7216;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7216;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3"/>
      <w:numFmt w:val="decimal"/>
      <w:pStyle w:val="295"/>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1">
    <w:nsid w:val="0000000A"/>
    <w:multiLevelType w:val="multilevel"/>
    <w:tmpl w:val="0000000A"/>
    <w:lvl w:ilvl="0" w:tentative="0">
      <w:start w:val="1"/>
      <w:numFmt w:val="bullet"/>
      <w:pStyle w:val="27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B4631B2"/>
    <w:multiLevelType w:val="multilevel"/>
    <w:tmpl w:val="0B4631B2"/>
    <w:lvl w:ilvl="0" w:tentative="0">
      <w:start w:val="1"/>
      <w:numFmt w:val="decimal"/>
      <w:pStyle w:val="260"/>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79"/>
      <w:lvlText w:val="%1.%2.%3"/>
      <w:lvlJc w:val="left"/>
      <w:pPr>
        <w:tabs>
          <w:tab w:val="left" w:pos="495"/>
        </w:tabs>
        <w:ind w:left="495" w:hanging="495"/>
      </w:pPr>
      <w:rPr>
        <w:rFonts w:hint="default"/>
      </w:rPr>
    </w:lvl>
    <w:lvl w:ilvl="3" w:tentative="0">
      <w:start w:val="1"/>
      <w:numFmt w:val="decimal"/>
      <w:pStyle w:val="90"/>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4">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5"/>
      <w:lvlText w:val="%3."/>
      <w:lvlJc w:val="right"/>
      <w:pPr>
        <w:ind w:left="1260" w:hanging="420"/>
      </w:pPr>
    </w:lvl>
    <w:lvl w:ilvl="3" w:tentative="0">
      <w:start w:val="1"/>
      <w:numFmt w:val="decimal"/>
      <w:pStyle w:val="6"/>
      <w:lvlText w:val="%4."/>
      <w:lvlJc w:val="left"/>
      <w:pPr>
        <w:ind w:left="1680" w:hanging="420"/>
      </w:pPr>
    </w:lvl>
    <w:lvl w:ilvl="4" w:tentative="0">
      <w:start w:val="1"/>
      <w:numFmt w:val="lowerLetter"/>
      <w:pStyle w:val="7"/>
      <w:lvlText w:val="%5)"/>
      <w:lvlJc w:val="left"/>
      <w:pPr>
        <w:ind w:left="2100" w:hanging="420"/>
      </w:pPr>
    </w:lvl>
    <w:lvl w:ilvl="5" w:tentative="0">
      <w:start w:val="1"/>
      <w:numFmt w:val="lowerRoman"/>
      <w:pStyle w:val="8"/>
      <w:lvlText w:val="%6."/>
      <w:lvlJc w:val="right"/>
      <w:pPr>
        <w:ind w:left="2520" w:hanging="420"/>
      </w:pPr>
    </w:lvl>
    <w:lvl w:ilvl="6" w:tentative="0">
      <w:start w:val="1"/>
      <w:numFmt w:val="decimal"/>
      <w:pStyle w:val="9"/>
      <w:lvlText w:val="%7."/>
      <w:lvlJc w:val="left"/>
      <w:pPr>
        <w:ind w:left="2940" w:hanging="420"/>
      </w:pPr>
    </w:lvl>
    <w:lvl w:ilvl="7" w:tentative="0">
      <w:start w:val="1"/>
      <w:numFmt w:val="lowerLetter"/>
      <w:pStyle w:val="10"/>
      <w:lvlText w:val="%8)"/>
      <w:lvlJc w:val="left"/>
      <w:pPr>
        <w:ind w:left="3360" w:hanging="420"/>
      </w:pPr>
    </w:lvl>
    <w:lvl w:ilvl="8" w:tentative="0">
      <w:start w:val="1"/>
      <w:numFmt w:val="lowerRoman"/>
      <w:pStyle w:val="11"/>
      <w:lvlText w:val="%9."/>
      <w:lvlJc w:val="right"/>
      <w:pPr>
        <w:ind w:left="3780" w:hanging="420"/>
      </w:pPr>
    </w:lvl>
  </w:abstractNum>
  <w:abstractNum w:abstractNumId="5">
    <w:nsid w:val="7ABF536F"/>
    <w:multiLevelType w:val="singleLevel"/>
    <w:tmpl w:val="7ABF536F"/>
    <w:lvl w:ilvl="0" w:tentative="0">
      <w:start w:val="1"/>
      <w:numFmt w:val="decimal"/>
      <w:pStyle w:val="41"/>
      <w:lvlText w:val="%1."/>
      <w:lvlJc w:val="left"/>
      <w:pPr>
        <w:tabs>
          <w:tab w:val="left" w:pos="2040"/>
        </w:tabs>
        <w:ind w:left="2040" w:hanging="360"/>
      </w:pPr>
    </w:lvl>
  </w:abstractNum>
  <w:abstractNum w:abstractNumId="6">
    <w:nsid w:val="7DC1377D"/>
    <w:multiLevelType w:val="multilevel"/>
    <w:tmpl w:val="7DC1377D"/>
    <w:lvl w:ilvl="0" w:tentative="0">
      <w:start w:val="2"/>
      <w:numFmt w:val="decimal"/>
      <w:lvlText w:val="%1"/>
      <w:lvlJc w:val="left"/>
      <w:pPr>
        <w:ind w:left="430" w:hanging="430"/>
      </w:pPr>
      <w:rPr>
        <w:rFonts w:hint="default" w:cs="Arial"/>
      </w:rPr>
    </w:lvl>
    <w:lvl w:ilvl="1" w:tentative="0">
      <w:start w:val="2"/>
      <w:numFmt w:val="decimal"/>
      <w:lvlText w:val="%1.%2"/>
      <w:lvlJc w:val="left"/>
      <w:pPr>
        <w:ind w:left="430" w:hanging="430"/>
      </w:pPr>
      <w:rPr>
        <w:rFonts w:hint="default" w:cs="Arial"/>
      </w:rPr>
    </w:lvl>
    <w:lvl w:ilvl="2" w:tentative="0">
      <w:start w:val="1"/>
      <w:numFmt w:val="decimal"/>
      <w:lvlText w:val="%1.%2.%3"/>
      <w:lvlJc w:val="left"/>
      <w:pPr>
        <w:ind w:left="720" w:hanging="720"/>
      </w:pPr>
      <w:rPr>
        <w:rFonts w:hint="default" w:cs="Arial"/>
      </w:rPr>
    </w:lvl>
    <w:lvl w:ilvl="3" w:tentative="0">
      <w:start w:val="1"/>
      <w:numFmt w:val="decimal"/>
      <w:lvlText w:val="%1.%2.%3.%4"/>
      <w:lvlJc w:val="left"/>
      <w:pPr>
        <w:ind w:left="1080" w:hanging="1080"/>
      </w:pPr>
      <w:rPr>
        <w:rFonts w:hint="default" w:cs="Arial"/>
      </w:rPr>
    </w:lvl>
    <w:lvl w:ilvl="4" w:tentative="0">
      <w:start w:val="1"/>
      <w:numFmt w:val="decimal"/>
      <w:lvlText w:val="%1.%2.%3.%4.%5"/>
      <w:lvlJc w:val="left"/>
      <w:pPr>
        <w:ind w:left="1080" w:hanging="1080"/>
      </w:pPr>
      <w:rPr>
        <w:rFonts w:hint="default" w:cs="Arial"/>
      </w:rPr>
    </w:lvl>
    <w:lvl w:ilvl="5" w:tentative="0">
      <w:start w:val="1"/>
      <w:numFmt w:val="decimal"/>
      <w:lvlText w:val="%1.%2.%3.%4.%5.%6"/>
      <w:lvlJc w:val="left"/>
      <w:pPr>
        <w:ind w:left="1440" w:hanging="1440"/>
      </w:pPr>
      <w:rPr>
        <w:rFonts w:hint="default" w:cs="Arial"/>
      </w:rPr>
    </w:lvl>
    <w:lvl w:ilvl="6" w:tentative="0">
      <w:start w:val="1"/>
      <w:numFmt w:val="decimal"/>
      <w:lvlText w:val="%1.%2.%3.%4.%5.%6.%7"/>
      <w:lvlJc w:val="left"/>
      <w:pPr>
        <w:ind w:left="1440" w:hanging="1440"/>
      </w:pPr>
      <w:rPr>
        <w:rFonts w:hint="default" w:cs="Arial"/>
      </w:rPr>
    </w:lvl>
    <w:lvl w:ilvl="7" w:tentative="0">
      <w:start w:val="1"/>
      <w:numFmt w:val="decimal"/>
      <w:lvlText w:val="%1.%2.%3.%4.%5.%6.%7.%8"/>
      <w:lvlJc w:val="left"/>
      <w:pPr>
        <w:ind w:left="1800" w:hanging="1800"/>
      </w:pPr>
      <w:rPr>
        <w:rFonts w:hint="default" w:cs="Arial"/>
      </w:rPr>
    </w:lvl>
    <w:lvl w:ilvl="8" w:tentative="0">
      <w:start w:val="1"/>
      <w:numFmt w:val="decimal"/>
      <w:lvlText w:val="%1.%2.%3.%4.%5.%6.%7.%8.%9"/>
      <w:lvlJc w:val="left"/>
      <w:pPr>
        <w:ind w:left="1800" w:hanging="1800"/>
      </w:pPr>
      <w:rPr>
        <w:rFonts w:hint="default" w:cs="Arial"/>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D15BB4"/>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B14964"/>
    <w:rsid w:val="12E81879"/>
    <w:rsid w:val="13363E35"/>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AF1F18"/>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95889"/>
    <w:rsid w:val="25E3191A"/>
    <w:rsid w:val="272A36B9"/>
    <w:rsid w:val="27574CC5"/>
    <w:rsid w:val="27A45BFA"/>
    <w:rsid w:val="29477193"/>
    <w:rsid w:val="298E65D5"/>
    <w:rsid w:val="29E737F5"/>
    <w:rsid w:val="2A10603F"/>
    <w:rsid w:val="2AF16AE6"/>
    <w:rsid w:val="2B0A1F9E"/>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7D7CE2"/>
    <w:rsid w:val="38A67E7F"/>
    <w:rsid w:val="38B41477"/>
    <w:rsid w:val="38E24814"/>
    <w:rsid w:val="38F35773"/>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874185"/>
    <w:rsid w:val="3DA3470B"/>
    <w:rsid w:val="3DC1785A"/>
    <w:rsid w:val="3DF029F0"/>
    <w:rsid w:val="3E18216E"/>
    <w:rsid w:val="3E8D7FAC"/>
    <w:rsid w:val="3EAA332F"/>
    <w:rsid w:val="3F557354"/>
    <w:rsid w:val="3FF35B5D"/>
    <w:rsid w:val="400E6C2F"/>
    <w:rsid w:val="405F451F"/>
    <w:rsid w:val="408D4D2E"/>
    <w:rsid w:val="410B54F1"/>
    <w:rsid w:val="41596324"/>
    <w:rsid w:val="416D454C"/>
    <w:rsid w:val="417E0DD4"/>
    <w:rsid w:val="41AE29E7"/>
    <w:rsid w:val="42322034"/>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CD5D91"/>
    <w:rsid w:val="49DF19D1"/>
    <w:rsid w:val="4A110963"/>
    <w:rsid w:val="4A262C03"/>
    <w:rsid w:val="4A5D70EB"/>
    <w:rsid w:val="4AB045A7"/>
    <w:rsid w:val="4AC34F6C"/>
    <w:rsid w:val="4AF155C9"/>
    <w:rsid w:val="4B110071"/>
    <w:rsid w:val="4B553C62"/>
    <w:rsid w:val="4BE913F0"/>
    <w:rsid w:val="4C41382B"/>
    <w:rsid w:val="4C4232FC"/>
    <w:rsid w:val="4C5174C5"/>
    <w:rsid w:val="4CE17CD6"/>
    <w:rsid w:val="4CE52FAB"/>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360F26"/>
    <w:rsid w:val="53A75E29"/>
    <w:rsid w:val="53F420B3"/>
    <w:rsid w:val="54002F60"/>
    <w:rsid w:val="540E00C3"/>
    <w:rsid w:val="54180F5D"/>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094F53"/>
    <w:rsid w:val="601E3881"/>
    <w:rsid w:val="60511C52"/>
    <w:rsid w:val="6056124C"/>
    <w:rsid w:val="606261EE"/>
    <w:rsid w:val="60A2410D"/>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qFormat/>
    <w:uiPriority w:val="0"/>
    <w:pPr>
      <w:keepNext/>
      <w:topLinePunct/>
      <w:ind w:left="360"/>
      <w:outlineLvl w:val="0"/>
    </w:pPr>
    <w:rPr>
      <w:sz w:val="28"/>
    </w:rPr>
  </w:style>
  <w:style w:type="paragraph" w:styleId="3">
    <w:name w:val="heading 2"/>
    <w:basedOn w:val="1"/>
    <w:next w:val="4"/>
    <w:link w:val="69"/>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5">
    <w:name w:val="heading 3"/>
    <w:basedOn w:val="1"/>
    <w:next w:val="1"/>
    <w:link w:val="70"/>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6">
    <w:name w:val="heading 4"/>
    <w:basedOn w:val="1"/>
    <w:next w:val="1"/>
    <w:link w:val="7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7">
    <w:name w:val="heading 5"/>
    <w:basedOn w:val="1"/>
    <w:next w:val="1"/>
    <w:link w:val="72"/>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8">
    <w:name w:val="heading 6"/>
    <w:basedOn w:val="1"/>
    <w:next w:val="1"/>
    <w:link w:val="73"/>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9">
    <w:name w:val="heading 7"/>
    <w:basedOn w:val="1"/>
    <w:next w:val="1"/>
    <w:link w:val="74"/>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10">
    <w:name w:val="heading 8"/>
    <w:basedOn w:val="1"/>
    <w:next w:val="1"/>
    <w:link w:val="75"/>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6"/>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customStyle="1" w:styleId="4">
    <w:name w:val="01 正文"/>
    <w:basedOn w:val="1"/>
    <w:qFormat/>
    <w:uiPriority w:val="0"/>
  </w:style>
  <w:style w:type="paragraph" w:styleId="12">
    <w:name w:val="List 3"/>
    <w:basedOn w:val="1"/>
    <w:qFormat/>
    <w:uiPriority w:val="0"/>
    <w:pPr>
      <w:ind w:left="1260" w:hanging="420"/>
    </w:pPr>
    <w:rPr>
      <w:kern w:val="0"/>
      <w:position w:val="-6"/>
      <w:sz w:val="24"/>
    </w:rPr>
  </w:style>
  <w:style w:type="paragraph" w:styleId="13">
    <w:name w:val="toc 7"/>
    <w:basedOn w:val="1"/>
    <w:next w:val="1"/>
    <w:qFormat/>
    <w:uiPriority w:val="0"/>
    <w:pPr>
      <w:ind w:left="2520" w:leftChars="1200"/>
    </w:pPr>
    <w:rPr>
      <w:szCs w:val="24"/>
    </w:rPr>
  </w:style>
  <w:style w:type="paragraph" w:styleId="14">
    <w:name w:val="List Number 2"/>
    <w:basedOn w:val="15"/>
    <w:qFormat/>
    <w:uiPriority w:val="0"/>
    <w:pPr>
      <w:ind w:left="720" w:hanging="720"/>
    </w:pPr>
  </w:style>
  <w:style w:type="paragraph" w:styleId="15">
    <w:name w:val="List Number"/>
    <w:basedOn w:val="16"/>
    <w:qFormat/>
    <w:uiPriority w:val="0"/>
    <w:pPr>
      <w:spacing w:after="220" w:line="220" w:lineRule="atLeast"/>
      <w:ind w:left="1800" w:right="720" w:hanging="360"/>
    </w:pPr>
    <w:rPr>
      <w:spacing w:val="-4"/>
    </w:rPr>
  </w:style>
  <w:style w:type="paragraph" w:styleId="16">
    <w:name w:val="List"/>
    <w:basedOn w:val="1"/>
    <w:qFormat/>
    <w:uiPriority w:val="0"/>
    <w:pPr>
      <w:ind w:left="420" w:hanging="420"/>
    </w:pPr>
    <w:rPr>
      <w:szCs w:val="24"/>
    </w:rPr>
  </w:style>
  <w:style w:type="paragraph" w:styleId="17">
    <w:name w:val="List Bullet 4"/>
    <w:basedOn w:val="1"/>
    <w:qFormat/>
    <w:uiPriority w:val="0"/>
    <w:pPr>
      <w:tabs>
        <w:tab w:val="left" w:pos="1620"/>
      </w:tabs>
      <w:ind w:left="420" w:hanging="420"/>
    </w:pPr>
    <w:rPr>
      <w:szCs w:val="24"/>
    </w:rPr>
  </w:style>
  <w:style w:type="paragraph" w:styleId="18">
    <w:name w:val="Normal Indent"/>
    <w:basedOn w:val="1"/>
    <w:link w:val="83"/>
    <w:qFormat/>
    <w:uiPriority w:val="0"/>
    <w:pPr>
      <w:adjustRightInd w:val="0"/>
      <w:spacing w:line="312" w:lineRule="atLeast"/>
      <w:ind w:firstLine="420"/>
      <w:textAlignment w:val="baseline"/>
    </w:pPr>
    <w:rPr>
      <w:rFonts w:ascii="@楷体" w:hAnsi="Symbol" w:eastAsia="楷体"/>
      <w:kern w:val="28"/>
      <w:sz w:val="15"/>
    </w:rPr>
  </w:style>
  <w:style w:type="paragraph" w:styleId="19">
    <w:name w:val="caption"/>
    <w:basedOn w:val="1"/>
    <w:next w:val="1"/>
    <w:qFormat/>
    <w:uiPriority w:val="0"/>
    <w:rPr>
      <w:rFonts w:ascii="Arial" w:hAnsi="Arial" w:eastAsia="黑体" w:cs="Arial"/>
      <w:kern w:val="0"/>
      <w:position w:val="-6"/>
      <w:sz w:val="20"/>
    </w:rPr>
  </w:style>
  <w:style w:type="paragraph" w:styleId="20">
    <w:name w:val="Document Map"/>
    <w:basedOn w:val="1"/>
    <w:link w:val="91"/>
    <w:qFormat/>
    <w:uiPriority w:val="0"/>
    <w:rPr>
      <w:rFonts w:ascii="宋体"/>
      <w:sz w:val="18"/>
      <w:szCs w:val="18"/>
    </w:rPr>
  </w:style>
  <w:style w:type="paragraph" w:styleId="21">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2">
    <w:name w:val="annotation text"/>
    <w:basedOn w:val="1"/>
    <w:link w:val="93"/>
    <w:qFormat/>
    <w:uiPriority w:val="0"/>
    <w:pPr>
      <w:jc w:val="left"/>
    </w:pPr>
  </w:style>
  <w:style w:type="paragraph" w:styleId="23">
    <w:name w:val="Body Text 3"/>
    <w:basedOn w:val="1"/>
    <w:link w:val="204"/>
    <w:qFormat/>
    <w:uiPriority w:val="0"/>
    <w:pPr>
      <w:spacing w:after="120"/>
    </w:pPr>
    <w:rPr>
      <w:sz w:val="16"/>
      <w:szCs w:val="16"/>
    </w:rPr>
  </w:style>
  <w:style w:type="paragraph" w:styleId="24">
    <w:name w:val="List Bullet 3"/>
    <w:basedOn w:val="1"/>
    <w:qFormat/>
    <w:uiPriority w:val="0"/>
    <w:pPr>
      <w:tabs>
        <w:tab w:val="left" w:pos="1200"/>
      </w:tabs>
      <w:ind w:left="420" w:hanging="420"/>
    </w:pPr>
    <w:rPr>
      <w:szCs w:val="24"/>
    </w:rPr>
  </w:style>
  <w:style w:type="paragraph" w:styleId="25">
    <w:name w:val="Body Text"/>
    <w:basedOn w:val="1"/>
    <w:link w:val="86"/>
    <w:qFormat/>
    <w:uiPriority w:val="0"/>
    <w:rPr>
      <w:rFonts w:ascii="宋体" w:hAnsi="宋体"/>
      <w:color w:val="0000FF"/>
      <w:sz w:val="24"/>
      <w:szCs w:val="24"/>
    </w:rPr>
  </w:style>
  <w:style w:type="paragraph" w:styleId="26">
    <w:name w:val="Body Text Indent"/>
    <w:basedOn w:val="1"/>
    <w:link w:val="94"/>
    <w:qFormat/>
    <w:uiPriority w:val="0"/>
    <w:pPr>
      <w:spacing w:after="120"/>
      <w:ind w:left="420" w:leftChars="200"/>
    </w:pPr>
    <w:rPr>
      <w:szCs w:val="24"/>
    </w:rPr>
  </w:style>
  <w:style w:type="paragraph" w:styleId="27">
    <w:name w:val="List Bullet 2"/>
    <w:basedOn w:val="1"/>
    <w:qFormat/>
    <w:uiPriority w:val="0"/>
    <w:pPr>
      <w:tabs>
        <w:tab w:val="left" w:pos="780"/>
      </w:tabs>
      <w:ind w:left="420" w:hanging="420"/>
    </w:pPr>
    <w:rPr>
      <w:szCs w:val="24"/>
    </w:rPr>
  </w:style>
  <w:style w:type="paragraph" w:styleId="28">
    <w:name w:val="toc 5"/>
    <w:basedOn w:val="1"/>
    <w:next w:val="1"/>
    <w:qFormat/>
    <w:uiPriority w:val="0"/>
    <w:pPr>
      <w:ind w:left="1680" w:leftChars="800"/>
    </w:pPr>
    <w:rPr>
      <w:szCs w:val="24"/>
    </w:rPr>
  </w:style>
  <w:style w:type="paragraph" w:styleId="29">
    <w:name w:val="toc 3"/>
    <w:basedOn w:val="1"/>
    <w:next w:val="1"/>
    <w:qFormat/>
    <w:uiPriority w:val="0"/>
    <w:pPr>
      <w:ind w:left="840" w:leftChars="400"/>
    </w:pPr>
    <w:rPr>
      <w:szCs w:val="24"/>
    </w:rPr>
  </w:style>
  <w:style w:type="paragraph" w:styleId="30">
    <w:name w:val="Plain Text"/>
    <w:basedOn w:val="1"/>
    <w:link w:val="77"/>
    <w:unhideWhenUsed/>
    <w:qFormat/>
    <w:uiPriority w:val="0"/>
    <w:rPr>
      <w:rFonts w:ascii="宋体" w:hAnsi="Courier New"/>
    </w:rPr>
  </w:style>
  <w:style w:type="paragraph" w:styleId="31">
    <w:name w:val="toc 8"/>
    <w:basedOn w:val="1"/>
    <w:next w:val="1"/>
    <w:qFormat/>
    <w:uiPriority w:val="0"/>
    <w:pPr>
      <w:ind w:left="2940" w:leftChars="1400"/>
    </w:pPr>
    <w:rPr>
      <w:szCs w:val="24"/>
    </w:rPr>
  </w:style>
  <w:style w:type="paragraph" w:styleId="32">
    <w:name w:val="Date"/>
    <w:basedOn w:val="1"/>
    <w:next w:val="1"/>
    <w:link w:val="96"/>
    <w:qFormat/>
    <w:uiPriority w:val="0"/>
  </w:style>
  <w:style w:type="paragraph" w:styleId="33">
    <w:name w:val="Body Text Indent 2"/>
    <w:basedOn w:val="1"/>
    <w:link w:val="97"/>
    <w:qFormat/>
    <w:uiPriority w:val="0"/>
    <w:pPr>
      <w:ind w:firstLine="480" w:firstLineChars="200"/>
    </w:pPr>
    <w:rPr>
      <w:rFonts w:ascii="宋体" w:hAnsi="宋体"/>
      <w:color w:val="FF0000"/>
      <w:sz w:val="24"/>
      <w:szCs w:val="24"/>
    </w:rPr>
  </w:style>
  <w:style w:type="paragraph" w:styleId="34">
    <w:name w:val="endnote text"/>
    <w:basedOn w:val="1"/>
    <w:link w:val="240"/>
    <w:qFormat/>
    <w:uiPriority w:val="0"/>
    <w:pPr>
      <w:adjustRightInd w:val="0"/>
      <w:spacing w:line="360" w:lineRule="atLeast"/>
      <w:jc w:val="left"/>
      <w:textAlignment w:val="baseline"/>
    </w:pPr>
    <w:rPr>
      <w:rFonts w:ascii="宋体"/>
      <w:kern w:val="0"/>
      <w:position w:val="-6"/>
      <w:sz w:val="24"/>
    </w:rPr>
  </w:style>
  <w:style w:type="paragraph" w:styleId="35">
    <w:name w:val="Balloon Text"/>
    <w:basedOn w:val="1"/>
    <w:link w:val="82"/>
    <w:unhideWhenUsed/>
    <w:qFormat/>
    <w:uiPriority w:val="0"/>
    <w:rPr>
      <w:sz w:val="18"/>
      <w:szCs w:val="18"/>
    </w:rPr>
  </w:style>
  <w:style w:type="paragraph" w:styleId="36">
    <w:name w:val="footer"/>
    <w:basedOn w:val="1"/>
    <w:link w:val="78"/>
    <w:qFormat/>
    <w:uiPriority w:val="99"/>
    <w:pPr>
      <w:tabs>
        <w:tab w:val="center" w:pos="4153"/>
        <w:tab w:val="right" w:pos="8306"/>
      </w:tabs>
      <w:snapToGrid w:val="0"/>
      <w:jc w:val="left"/>
    </w:pPr>
    <w:rPr>
      <w:sz w:val="18"/>
    </w:rPr>
  </w:style>
  <w:style w:type="paragraph" w:styleId="37">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8">
    <w:name w:val="toc 1"/>
    <w:basedOn w:val="1"/>
    <w:next w:val="1"/>
    <w:qFormat/>
    <w:uiPriority w:val="0"/>
    <w:rPr>
      <w:szCs w:val="24"/>
    </w:rPr>
  </w:style>
  <w:style w:type="paragraph" w:styleId="39">
    <w:name w:val="toc 4"/>
    <w:basedOn w:val="1"/>
    <w:next w:val="1"/>
    <w:qFormat/>
    <w:uiPriority w:val="0"/>
    <w:pPr>
      <w:ind w:left="1260" w:leftChars="600"/>
    </w:pPr>
    <w:rPr>
      <w:szCs w:val="24"/>
    </w:rPr>
  </w:style>
  <w:style w:type="paragraph" w:styleId="40">
    <w:name w:val="Subtitle"/>
    <w:basedOn w:val="1"/>
    <w:link w:val="128"/>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1">
    <w:name w:val="List Number 5"/>
    <w:basedOn w:val="1"/>
    <w:semiHidden/>
    <w:unhideWhenUsed/>
    <w:qFormat/>
    <w:uiPriority w:val="99"/>
    <w:pPr>
      <w:numPr>
        <w:ilvl w:val="0"/>
        <w:numId w:val="2"/>
      </w:numPr>
    </w:pPr>
  </w:style>
  <w:style w:type="paragraph" w:styleId="42">
    <w:name w:val="toc 6"/>
    <w:basedOn w:val="1"/>
    <w:next w:val="1"/>
    <w:qFormat/>
    <w:uiPriority w:val="0"/>
    <w:pPr>
      <w:ind w:left="2100" w:leftChars="1000"/>
    </w:pPr>
    <w:rPr>
      <w:szCs w:val="24"/>
    </w:rPr>
  </w:style>
  <w:style w:type="paragraph" w:styleId="43">
    <w:name w:val="List 5"/>
    <w:basedOn w:val="1"/>
    <w:qFormat/>
    <w:uiPriority w:val="0"/>
    <w:pPr>
      <w:ind w:left="2100" w:hanging="420"/>
    </w:pPr>
    <w:rPr>
      <w:kern w:val="0"/>
      <w:position w:val="-6"/>
      <w:sz w:val="24"/>
    </w:rPr>
  </w:style>
  <w:style w:type="paragraph" w:styleId="44">
    <w:name w:val="Body Text Indent 3"/>
    <w:basedOn w:val="1"/>
    <w:link w:val="99"/>
    <w:qFormat/>
    <w:uiPriority w:val="0"/>
    <w:pPr>
      <w:spacing w:line="360" w:lineRule="atLeast"/>
      <w:ind w:left="420" w:firstLine="480"/>
    </w:pPr>
    <w:rPr>
      <w:rFonts w:ascii="宋体"/>
      <w:sz w:val="24"/>
      <w:szCs w:val="24"/>
    </w:rPr>
  </w:style>
  <w:style w:type="paragraph" w:styleId="45">
    <w:name w:val="toc 2"/>
    <w:basedOn w:val="1"/>
    <w:next w:val="1"/>
    <w:qFormat/>
    <w:uiPriority w:val="0"/>
    <w:pPr>
      <w:ind w:left="420" w:leftChars="200"/>
    </w:pPr>
    <w:rPr>
      <w:szCs w:val="24"/>
    </w:rPr>
  </w:style>
  <w:style w:type="paragraph" w:styleId="46">
    <w:name w:val="toc 9"/>
    <w:basedOn w:val="1"/>
    <w:next w:val="1"/>
    <w:qFormat/>
    <w:uiPriority w:val="0"/>
    <w:pPr>
      <w:ind w:left="3360" w:leftChars="1600"/>
    </w:pPr>
    <w:rPr>
      <w:szCs w:val="24"/>
    </w:rPr>
  </w:style>
  <w:style w:type="paragraph" w:styleId="47">
    <w:name w:val="Body Text 2"/>
    <w:basedOn w:val="1"/>
    <w:link w:val="100"/>
    <w:qFormat/>
    <w:uiPriority w:val="0"/>
    <w:rPr>
      <w:rFonts w:ascii="宋体"/>
      <w:b/>
      <w:bCs/>
      <w:color w:val="0000FF"/>
      <w:sz w:val="30"/>
      <w:szCs w:val="24"/>
    </w:rPr>
  </w:style>
  <w:style w:type="paragraph" w:styleId="48">
    <w:name w:val="List 4"/>
    <w:basedOn w:val="1"/>
    <w:qFormat/>
    <w:uiPriority w:val="0"/>
    <w:pPr>
      <w:ind w:left="1680" w:hanging="420"/>
    </w:pPr>
    <w:rPr>
      <w:kern w:val="0"/>
      <w:position w:val="-6"/>
      <w:sz w:val="24"/>
    </w:rPr>
  </w:style>
  <w:style w:type="paragraph" w:styleId="49">
    <w:name w:val="Message Header"/>
    <w:basedOn w:val="25"/>
    <w:link w:val="205"/>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50">
    <w:name w:val="HTML Preformatted"/>
    <w:basedOn w:val="1"/>
    <w:link w:val="10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2">
    <w:name w:val="index 1"/>
    <w:basedOn w:val="1"/>
    <w:next w:val="1"/>
    <w:qFormat/>
    <w:uiPriority w:val="0"/>
    <w:pPr>
      <w:adjustRightInd w:val="0"/>
      <w:spacing w:line="360" w:lineRule="atLeast"/>
      <w:jc w:val="left"/>
      <w:textAlignment w:val="baseline"/>
    </w:pPr>
    <w:rPr>
      <w:kern w:val="0"/>
      <w:sz w:val="24"/>
    </w:rPr>
  </w:style>
  <w:style w:type="paragraph" w:styleId="53">
    <w:name w:val="index 2"/>
    <w:basedOn w:val="1"/>
    <w:next w:val="1"/>
    <w:qFormat/>
    <w:uiPriority w:val="0"/>
    <w:pPr>
      <w:ind w:left="200" w:leftChars="200"/>
    </w:pPr>
    <w:rPr>
      <w:kern w:val="0"/>
      <w:position w:val="-6"/>
      <w:sz w:val="24"/>
    </w:rPr>
  </w:style>
  <w:style w:type="paragraph" w:styleId="54">
    <w:name w:val="Title"/>
    <w:basedOn w:val="1"/>
    <w:link w:val="80"/>
    <w:qFormat/>
    <w:uiPriority w:val="0"/>
    <w:pPr>
      <w:adjustRightInd w:val="0"/>
      <w:snapToGrid w:val="0"/>
      <w:spacing w:before="120" w:after="120" w:line="520" w:lineRule="exact"/>
      <w:jc w:val="center"/>
      <w:outlineLvl w:val="0"/>
    </w:pPr>
    <w:rPr>
      <w:rFonts w:ascii="黑体" w:eastAsia="黑体"/>
      <w:snapToGrid w:val="0"/>
      <w:sz w:val="28"/>
    </w:rPr>
  </w:style>
  <w:style w:type="paragraph" w:styleId="55">
    <w:name w:val="annotation subject"/>
    <w:basedOn w:val="22"/>
    <w:next w:val="22"/>
    <w:link w:val="103"/>
    <w:semiHidden/>
    <w:qFormat/>
    <w:uiPriority w:val="0"/>
    <w:rPr>
      <w:b/>
      <w:bCs/>
      <w:szCs w:val="24"/>
    </w:rPr>
  </w:style>
  <w:style w:type="paragraph" w:styleId="56">
    <w:name w:val="Body Text First Indent"/>
    <w:basedOn w:val="25"/>
    <w:link w:val="146"/>
    <w:qFormat/>
    <w:uiPriority w:val="0"/>
    <w:pPr>
      <w:spacing w:after="120"/>
      <w:ind w:firstLine="420" w:firstLineChars="100"/>
    </w:pPr>
    <w:rPr>
      <w:rFonts w:hAnsi="Times New Roman"/>
      <w:color w:val="auto"/>
      <w:szCs w:val="20"/>
    </w:rPr>
  </w:style>
  <w:style w:type="paragraph" w:styleId="57">
    <w:name w:val="Body Text First Indent 2"/>
    <w:basedOn w:val="26"/>
    <w:link w:val="241"/>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59">
    <w:name w:val="Table Grid"/>
    <w:basedOn w:val="5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bCs/>
    </w:rPr>
  </w:style>
  <w:style w:type="character" w:styleId="62">
    <w:name w:val="page number"/>
    <w:basedOn w:val="60"/>
    <w:unhideWhenUsed/>
    <w:qFormat/>
    <w:uiPriority w:val="0"/>
    <w:rPr>
      <w:kern w:val="2"/>
      <w:sz w:val="21"/>
      <w:szCs w:val="21"/>
    </w:rPr>
  </w:style>
  <w:style w:type="character" w:styleId="63">
    <w:name w:val="FollowedHyperlink"/>
    <w:qFormat/>
    <w:uiPriority w:val="0"/>
    <w:rPr>
      <w:color w:val="800080"/>
      <w:u w:val="single"/>
    </w:rPr>
  </w:style>
  <w:style w:type="character" w:styleId="64">
    <w:name w:val="Hyperlink"/>
    <w:basedOn w:val="60"/>
    <w:unhideWhenUsed/>
    <w:qFormat/>
    <w:uiPriority w:val="0"/>
    <w:rPr>
      <w:color w:val="0563C1" w:themeColor="hyperlink"/>
      <w:u w:val="single"/>
      <w14:textFill>
        <w14:solidFill>
          <w14:schemeClr w14:val="hlink"/>
        </w14:solidFill>
      </w14:textFill>
    </w:rPr>
  </w:style>
  <w:style w:type="character" w:styleId="65">
    <w:name w:val="annotation reference"/>
    <w:qFormat/>
    <w:uiPriority w:val="0"/>
    <w:rPr>
      <w:sz w:val="21"/>
      <w:szCs w:val="21"/>
    </w:rPr>
  </w:style>
  <w:style w:type="paragraph" w:customStyle="1" w:styleId="66">
    <w:name w:val="正文(首行缩进)"/>
    <w:basedOn w:val="1"/>
    <w:qFormat/>
    <w:uiPriority w:val="0"/>
    <w:pPr>
      <w:spacing w:line="360" w:lineRule="auto"/>
      <w:ind w:firstLine="510"/>
    </w:pPr>
    <w:rPr>
      <w:rFonts w:ascii="宋体" w:hAnsi="宋体"/>
      <w:snapToGrid/>
      <w:kern w:val="0"/>
      <w:sz w:val="24"/>
      <w:szCs w:val="24"/>
    </w:rPr>
  </w:style>
  <w:style w:type="paragraph" w:customStyle="1" w:styleId="67">
    <w:name w:val="1 Char Char Char1 Char"/>
    <w:basedOn w:val="1"/>
    <w:qFormat/>
    <w:uiPriority w:val="0"/>
    <w:rPr>
      <w:rFonts w:ascii="Tahoma" w:hAnsi="Tahoma"/>
      <w:sz w:val="24"/>
      <w:szCs w:val="20"/>
    </w:rPr>
  </w:style>
  <w:style w:type="character" w:customStyle="1" w:styleId="68">
    <w:name w:val="标题 1 字符"/>
    <w:basedOn w:val="60"/>
    <w:link w:val="2"/>
    <w:qFormat/>
    <w:uiPriority w:val="0"/>
    <w:rPr>
      <w:kern w:val="2"/>
      <w:sz w:val="28"/>
    </w:rPr>
  </w:style>
  <w:style w:type="character" w:customStyle="1" w:styleId="69">
    <w:name w:val="标题 2 字符"/>
    <w:basedOn w:val="60"/>
    <w:link w:val="3"/>
    <w:qFormat/>
    <w:uiPriority w:val="0"/>
    <w:rPr>
      <w:rFonts w:ascii="Arial" w:hAnsi="Arial" w:eastAsia="黑体"/>
      <w:b/>
      <w:sz w:val="32"/>
    </w:rPr>
  </w:style>
  <w:style w:type="character" w:customStyle="1" w:styleId="70">
    <w:name w:val="标题 3 字符"/>
    <w:basedOn w:val="60"/>
    <w:link w:val="5"/>
    <w:qFormat/>
    <w:uiPriority w:val="0"/>
    <w:rPr>
      <w:b/>
      <w:sz w:val="32"/>
    </w:rPr>
  </w:style>
  <w:style w:type="character" w:customStyle="1" w:styleId="71">
    <w:name w:val="标题 4 字符"/>
    <w:basedOn w:val="60"/>
    <w:link w:val="6"/>
    <w:qFormat/>
    <w:uiPriority w:val="0"/>
    <w:rPr>
      <w:rFonts w:ascii="Arial" w:hAnsi="Arial" w:eastAsia="黑体"/>
      <w:b/>
      <w:sz w:val="28"/>
    </w:rPr>
  </w:style>
  <w:style w:type="character" w:customStyle="1" w:styleId="72">
    <w:name w:val="标题 5 字符"/>
    <w:basedOn w:val="60"/>
    <w:link w:val="7"/>
    <w:qFormat/>
    <w:uiPriority w:val="0"/>
    <w:rPr>
      <w:b/>
      <w:sz w:val="28"/>
    </w:rPr>
  </w:style>
  <w:style w:type="character" w:customStyle="1" w:styleId="73">
    <w:name w:val="标题 6 字符"/>
    <w:basedOn w:val="60"/>
    <w:link w:val="8"/>
    <w:qFormat/>
    <w:uiPriority w:val="0"/>
    <w:rPr>
      <w:rFonts w:ascii="Arial" w:hAnsi="Arial" w:eastAsia="黑体"/>
      <w:b/>
      <w:sz w:val="24"/>
    </w:rPr>
  </w:style>
  <w:style w:type="character" w:customStyle="1" w:styleId="74">
    <w:name w:val="标题 7 字符"/>
    <w:basedOn w:val="60"/>
    <w:link w:val="9"/>
    <w:qFormat/>
    <w:uiPriority w:val="0"/>
    <w:rPr>
      <w:b/>
      <w:sz w:val="24"/>
    </w:rPr>
  </w:style>
  <w:style w:type="character" w:customStyle="1" w:styleId="75">
    <w:name w:val="标题 8 字符"/>
    <w:basedOn w:val="60"/>
    <w:link w:val="10"/>
    <w:qFormat/>
    <w:uiPriority w:val="0"/>
    <w:rPr>
      <w:rFonts w:ascii="Arial" w:hAnsi="Arial" w:eastAsia="黑体"/>
      <w:sz w:val="24"/>
    </w:rPr>
  </w:style>
  <w:style w:type="character" w:customStyle="1" w:styleId="76">
    <w:name w:val="标题 9 字符"/>
    <w:basedOn w:val="60"/>
    <w:link w:val="11"/>
    <w:qFormat/>
    <w:uiPriority w:val="0"/>
    <w:rPr>
      <w:rFonts w:ascii="Arial" w:hAnsi="Arial" w:eastAsia="黑体"/>
      <w:sz w:val="24"/>
    </w:rPr>
  </w:style>
  <w:style w:type="character" w:customStyle="1" w:styleId="77">
    <w:name w:val="纯文本 字符"/>
    <w:link w:val="30"/>
    <w:qFormat/>
    <w:uiPriority w:val="0"/>
    <w:rPr>
      <w:rFonts w:ascii="宋体" w:hAnsi="Courier New"/>
      <w:kern w:val="2"/>
      <w:sz w:val="21"/>
    </w:rPr>
  </w:style>
  <w:style w:type="character" w:customStyle="1" w:styleId="78">
    <w:name w:val="页脚 字符"/>
    <w:basedOn w:val="60"/>
    <w:link w:val="36"/>
    <w:qFormat/>
    <w:uiPriority w:val="99"/>
    <w:rPr>
      <w:kern w:val="2"/>
      <w:sz w:val="18"/>
    </w:rPr>
  </w:style>
  <w:style w:type="character" w:customStyle="1" w:styleId="79">
    <w:name w:val="页眉 字符"/>
    <w:link w:val="37"/>
    <w:qFormat/>
    <w:uiPriority w:val="0"/>
    <w:rPr>
      <w:kern w:val="2"/>
      <w:sz w:val="18"/>
    </w:rPr>
  </w:style>
  <w:style w:type="character" w:customStyle="1" w:styleId="80">
    <w:name w:val="标题 字符"/>
    <w:link w:val="54"/>
    <w:qFormat/>
    <w:uiPriority w:val="0"/>
    <w:rPr>
      <w:rFonts w:ascii="黑体" w:eastAsia="黑体"/>
      <w:snapToGrid w:val="0"/>
      <w:kern w:val="2"/>
      <w:sz w:val="28"/>
    </w:rPr>
  </w:style>
  <w:style w:type="paragraph" w:customStyle="1" w:styleId="81">
    <w:name w:val="Char Char Char1 Char Char Char Char"/>
    <w:basedOn w:val="1"/>
    <w:qFormat/>
    <w:uiPriority w:val="0"/>
    <w:rPr>
      <w:szCs w:val="21"/>
    </w:rPr>
  </w:style>
  <w:style w:type="character" w:customStyle="1" w:styleId="82">
    <w:name w:val="批注框文本 字符"/>
    <w:basedOn w:val="60"/>
    <w:link w:val="35"/>
    <w:qFormat/>
    <w:uiPriority w:val="0"/>
    <w:rPr>
      <w:kern w:val="2"/>
      <w:sz w:val="18"/>
      <w:szCs w:val="18"/>
    </w:rPr>
  </w:style>
  <w:style w:type="character" w:customStyle="1" w:styleId="83">
    <w:name w:val="正文缩进 字符"/>
    <w:link w:val="18"/>
    <w:qFormat/>
    <w:uiPriority w:val="0"/>
    <w:rPr>
      <w:rFonts w:ascii="@楷体" w:hAnsi="Symbol" w:eastAsia="楷体"/>
      <w:kern w:val="28"/>
      <w:sz w:val="15"/>
    </w:rPr>
  </w:style>
  <w:style w:type="paragraph" w:customStyle="1" w:styleId="84">
    <w:name w:val="列出段落1"/>
    <w:basedOn w:val="1"/>
    <w:link w:val="85"/>
    <w:qFormat/>
    <w:uiPriority w:val="34"/>
    <w:pPr>
      <w:ind w:firstLine="420" w:firstLineChars="200"/>
    </w:pPr>
    <w:rPr>
      <w:rFonts w:ascii="Calibri" w:hAnsi="Calibri" w:cs="Calibri"/>
      <w:szCs w:val="21"/>
    </w:rPr>
  </w:style>
  <w:style w:type="character" w:customStyle="1" w:styleId="85">
    <w:name w:val="列出段落 Char"/>
    <w:link w:val="84"/>
    <w:qFormat/>
    <w:uiPriority w:val="34"/>
    <w:rPr>
      <w:rFonts w:ascii="Calibri" w:hAnsi="Calibri" w:cs="Calibri"/>
      <w:kern w:val="2"/>
      <w:sz w:val="21"/>
      <w:szCs w:val="21"/>
    </w:rPr>
  </w:style>
  <w:style w:type="character" w:customStyle="1" w:styleId="86">
    <w:name w:val="正文文本 字符"/>
    <w:basedOn w:val="60"/>
    <w:link w:val="25"/>
    <w:qFormat/>
    <w:uiPriority w:val="0"/>
    <w:rPr>
      <w:rFonts w:ascii="宋体" w:hAnsi="宋体"/>
      <w:color w:val="0000FF"/>
      <w:kern w:val="2"/>
      <w:sz w:val="24"/>
      <w:szCs w:val="24"/>
    </w:rPr>
  </w:style>
  <w:style w:type="paragraph" w:styleId="87">
    <w:name w:val="List Paragraph"/>
    <w:basedOn w:val="1"/>
    <w:qFormat/>
    <w:uiPriority w:val="34"/>
    <w:pPr>
      <w:ind w:firstLine="420" w:firstLineChars="200"/>
    </w:pPr>
  </w:style>
  <w:style w:type="table" w:customStyle="1" w:styleId="88">
    <w:name w:val="网格型1"/>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9">
    <w:name w:val="正文缩进 Char"/>
    <w:link w:val="90"/>
    <w:qFormat/>
    <w:uiPriority w:val="0"/>
    <w:rPr>
      <w:rFonts w:ascii="@楷体" w:hAnsi="Symbol" w:eastAsia="楷体"/>
      <w:kern w:val="28"/>
      <w:sz w:val="15"/>
      <w:lang w:val="en-US" w:eastAsia="zh-CN" w:bidi="ar-SA"/>
    </w:rPr>
  </w:style>
  <w:style w:type="paragraph" w:customStyle="1" w:styleId="90">
    <w:name w:val="标题4"/>
    <w:basedOn w:val="6"/>
    <w:link w:val="89"/>
    <w:qFormat/>
    <w:uiPriority w:val="0"/>
    <w:pPr>
      <w:keepLines w:val="0"/>
      <w:numPr>
        <w:numId w:val="3"/>
      </w:numPr>
      <w:tabs>
        <w:tab w:val="left" w:pos="720"/>
        <w:tab w:val="left" w:pos="3011"/>
      </w:tabs>
      <w:spacing w:before="0" w:after="0" w:line="360" w:lineRule="auto"/>
      <w:jc w:val="both"/>
    </w:pPr>
    <w:rPr>
      <w:rFonts w:ascii="@楷体" w:hAnsi="Symbol" w:eastAsia="楷体"/>
      <w:b w:val="0"/>
      <w:kern w:val="28"/>
      <w:sz w:val="15"/>
    </w:rPr>
  </w:style>
  <w:style w:type="character" w:customStyle="1" w:styleId="91">
    <w:name w:val="文档结构图 字符1"/>
    <w:link w:val="20"/>
    <w:qFormat/>
    <w:uiPriority w:val="0"/>
    <w:rPr>
      <w:rFonts w:ascii="宋体"/>
      <w:kern w:val="2"/>
      <w:sz w:val="18"/>
      <w:szCs w:val="18"/>
    </w:rPr>
  </w:style>
  <w:style w:type="character" w:customStyle="1" w:styleId="92">
    <w:name w:val="文档结构图 字符"/>
    <w:basedOn w:val="60"/>
    <w:qFormat/>
    <w:uiPriority w:val="0"/>
    <w:rPr>
      <w:rFonts w:ascii="Microsoft YaHei UI" w:eastAsia="Microsoft YaHei UI"/>
      <w:kern w:val="2"/>
      <w:sz w:val="18"/>
      <w:szCs w:val="18"/>
    </w:rPr>
  </w:style>
  <w:style w:type="character" w:customStyle="1" w:styleId="93">
    <w:name w:val="批注文字 字符"/>
    <w:basedOn w:val="60"/>
    <w:link w:val="22"/>
    <w:qFormat/>
    <w:uiPriority w:val="0"/>
    <w:rPr>
      <w:kern w:val="2"/>
      <w:sz w:val="21"/>
    </w:rPr>
  </w:style>
  <w:style w:type="character" w:customStyle="1" w:styleId="94">
    <w:name w:val="正文文本缩进 字符"/>
    <w:basedOn w:val="60"/>
    <w:link w:val="26"/>
    <w:qFormat/>
    <w:uiPriority w:val="0"/>
    <w:rPr>
      <w:kern w:val="2"/>
      <w:sz w:val="21"/>
      <w:szCs w:val="24"/>
    </w:rPr>
  </w:style>
  <w:style w:type="character" w:customStyle="1" w:styleId="95">
    <w:name w:val="纯文本 Char"/>
    <w:qFormat/>
    <w:uiPriority w:val="0"/>
    <w:rPr>
      <w:rFonts w:ascii="宋体" w:hAnsi="Courier New"/>
      <w:kern w:val="2"/>
      <w:sz w:val="21"/>
    </w:rPr>
  </w:style>
  <w:style w:type="character" w:customStyle="1" w:styleId="96">
    <w:name w:val="日期 字符"/>
    <w:basedOn w:val="60"/>
    <w:link w:val="32"/>
    <w:qFormat/>
    <w:uiPriority w:val="0"/>
    <w:rPr>
      <w:kern w:val="2"/>
      <w:sz w:val="21"/>
    </w:rPr>
  </w:style>
  <w:style w:type="character" w:customStyle="1" w:styleId="97">
    <w:name w:val="正文文本缩进 2 字符"/>
    <w:basedOn w:val="60"/>
    <w:link w:val="33"/>
    <w:qFormat/>
    <w:uiPriority w:val="0"/>
    <w:rPr>
      <w:rFonts w:ascii="宋体" w:hAnsi="宋体"/>
      <w:color w:val="FF0000"/>
      <w:kern w:val="2"/>
      <w:sz w:val="24"/>
      <w:szCs w:val="24"/>
    </w:rPr>
  </w:style>
  <w:style w:type="character" w:customStyle="1" w:styleId="98">
    <w:name w:val="页脚 Char"/>
    <w:qFormat/>
    <w:uiPriority w:val="0"/>
    <w:rPr>
      <w:kern w:val="2"/>
      <w:sz w:val="18"/>
      <w:szCs w:val="18"/>
      <w:lang w:val="en-US" w:eastAsia="zh-CN"/>
    </w:rPr>
  </w:style>
  <w:style w:type="character" w:customStyle="1" w:styleId="99">
    <w:name w:val="正文文本缩进 3 字符"/>
    <w:basedOn w:val="60"/>
    <w:link w:val="44"/>
    <w:qFormat/>
    <w:uiPriority w:val="0"/>
    <w:rPr>
      <w:rFonts w:ascii="宋体"/>
      <w:kern w:val="2"/>
      <w:sz w:val="24"/>
      <w:szCs w:val="24"/>
    </w:rPr>
  </w:style>
  <w:style w:type="character" w:customStyle="1" w:styleId="100">
    <w:name w:val="正文文本 2 字符"/>
    <w:basedOn w:val="60"/>
    <w:link w:val="47"/>
    <w:qFormat/>
    <w:uiPriority w:val="0"/>
    <w:rPr>
      <w:rFonts w:ascii="宋体"/>
      <w:b/>
      <w:bCs/>
      <w:color w:val="0000FF"/>
      <w:kern w:val="2"/>
      <w:sz w:val="30"/>
      <w:szCs w:val="24"/>
    </w:rPr>
  </w:style>
  <w:style w:type="character" w:customStyle="1" w:styleId="101">
    <w:name w:val="HTML 预设格式 字符1"/>
    <w:link w:val="50"/>
    <w:qFormat/>
    <w:uiPriority w:val="99"/>
    <w:rPr>
      <w:rFonts w:ascii="宋体" w:hAnsi="宋体" w:cs="宋体"/>
      <w:sz w:val="24"/>
      <w:szCs w:val="24"/>
    </w:rPr>
  </w:style>
  <w:style w:type="character" w:customStyle="1" w:styleId="102">
    <w:name w:val="HTML 预设格式 字符"/>
    <w:basedOn w:val="60"/>
    <w:semiHidden/>
    <w:qFormat/>
    <w:uiPriority w:val="99"/>
    <w:rPr>
      <w:rFonts w:ascii="Courier New" w:hAnsi="Courier New" w:cs="Courier New"/>
      <w:kern w:val="2"/>
    </w:rPr>
  </w:style>
  <w:style w:type="character" w:customStyle="1" w:styleId="103">
    <w:name w:val="批注主题 字符"/>
    <w:basedOn w:val="93"/>
    <w:link w:val="55"/>
    <w:semiHidden/>
    <w:qFormat/>
    <w:uiPriority w:val="0"/>
    <w:rPr>
      <w:b/>
      <w:bCs/>
      <w:kern w:val="2"/>
      <w:sz w:val="21"/>
      <w:szCs w:val="24"/>
    </w:rPr>
  </w:style>
  <w:style w:type="character" w:customStyle="1" w:styleId="104">
    <w:name w:val="txt41"/>
    <w:qFormat/>
    <w:uiPriority w:val="0"/>
    <w:rPr>
      <w:b/>
      <w:bCs/>
      <w:color w:val="000000"/>
      <w:sz w:val="29"/>
      <w:szCs w:val="29"/>
    </w:rPr>
  </w:style>
  <w:style w:type="character" w:customStyle="1" w:styleId="105">
    <w:name w:val="样式12 Char"/>
    <w:link w:val="106"/>
    <w:qFormat/>
    <w:locked/>
    <w:uiPriority w:val="0"/>
    <w:rPr>
      <w:kern w:val="2"/>
      <w:sz w:val="24"/>
    </w:rPr>
  </w:style>
  <w:style w:type="paragraph" w:customStyle="1" w:styleId="106">
    <w:name w:val="样式12"/>
    <w:basedOn w:val="1"/>
    <w:link w:val="105"/>
    <w:qFormat/>
    <w:uiPriority w:val="0"/>
    <w:pPr>
      <w:tabs>
        <w:tab w:val="left" w:pos="533"/>
      </w:tabs>
      <w:ind w:left="420" w:hanging="420"/>
    </w:pPr>
    <w:rPr>
      <w:sz w:val="24"/>
    </w:rPr>
  </w:style>
  <w:style w:type="character" w:customStyle="1" w:styleId="107">
    <w:name w:val="txt91"/>
    <w:qFormat/>
    <w:uiPriority w:val="0"/>
    <w:rPr>
      <w:b/>
      <w:bCs/>
      <w:color w:val="330066"/>
      <w:sz w:val="22"/>
      <w:szCs w:val="22"/>
    </w:rPr>
  </w:style>
  <w:style w:type="character" w:customStyle="1" w:styleId="108">
    <w:name w:val="txt14"/>
    <w:qFormat/>
    <w:uiPriority w:val="0"/>
    <w:rPr>
      <w:color w:val="000000"/>
      <w:sz w:val="29"/>
      <w:szCs w:val="29"/>
    </w:rPr>
  </w:style>
  <w:style w:type="paragraph" w:customStyle="1" w:styleId="109">
    <w:name w:val="大标题"/>
    <w:basedOn w:val="1"/>
    <w:qFormat/>
    <w:uiPriority w:val="0"/>
    <w:pPr>
      <w:jc w:val="center"/>
    </w:pPr>
    <w:rPr>
      <w:rFonts w:ascii="黑体" w:eastAsia="黑体" w:cs="宋体"/>
      <w:b/>
      <w:bCs/>
      <w:sz w:val="32"/>
    </w:rPr>
  </w:style>
  <w:style w:type="paragraph" w:customStyle="1" w:styleId="110">
    <w:name w:val="4 Char"/>
    <w:basedOn w:val="1"/>
    <w:qFormat/>
    <w:uiPriority w:val="0"/>
    <w:rPr>
      <w:szCs w:val="24"/>
    </w:rPr>
  </w:style>
  <w:style w:type="paragraph" w:customStyle="1" w:styleId="111">
    <w:name w:val="Char Char Char1"/>
    <w:basedOn w:val="1"/>
    <w:qFormat/>
    <w:uiPriority w:val="0"/>
    <w:rPr>
      <w:szCs w:val="24"/>
    </w:rPr>
  </w:style>
  <w:style w:type="paragraph" w:customStyle="1" w:styleId="112">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3">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4">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5">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6">
    <w:name w:val="Char"/>
    <w:basedOn w:val="1"/>
    <w:qFormat/>
    <w:uiPriority w:val="0"/>
    <w:rPr>
      <w:szCs w:val="21"/>
    </w:rPr>
  </w:style>
  <w:style w:type="paragraph" w:customStyle="1" w:styleId="117">
    <w:name w:val="列出段落2"/>
    <w:basedOn w:val="1"/>
    <w:qFormat/>
    <w:uiPriority w:val="0"/>
    <w:pPr>
      <w:ind w:firstLine="420" w:firstLineChars="200"/>
    </w:pPr>
    <w:rPr>
      <w:rFonts w:ascii="Calibri" w:hAnsi="Calibri" w:cs="Calibri"/>
      <w:szCs w:val="21"/>
    </w:rPr>
  </w:style>
  <w:style w:type="paragraph" w:customStyle="1" w:styleId="118">
    <w:name w:val="ST20_17"/>
    <w:basedOn w:val="6"/>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19">
    <w:name w:val="Char1"/>
    <w:basedOn w:val="1"/>
    <w:qFormat/>
    <w:uiPriority w:val="0"/>
    <w:rPr>
      <w:szCs w:val="24"/>
    </w:rPr>
  </w:style>
  <w:style w:type="paragraph" w:customStyle="1" w:styleId="120">
    <w:name w:val="Char Char Char Char"/>
    <w:basedOn w:val="1"/>
    <w:qFormat/>
    <w:uiPriority w:val="0"/>
    <w:pPr>
      <w:adjustRightInd w:val="0"/>
      <w:spacing w:line="360" w:lineRule="auto"/>
    </w:pPr>
    <w:rPr>
      <w:rFonts w:ascii="Tahoma" w:hAnsi="Tahoma"/>
      <w:kern w:val="0"/>
      <w:sz w:val="24"/>
    </w:rPr>
  </w:style>
  <w:style w:type="paragraph" w:customStyle="1" w:styleId="121">
    <w:name w:val="内容文字"/>
    <w:basedOn w:val="1"/>
    <w:qFormat/>
    <w:uiPriority w:val="0"/>
    <w:pPr>
      <w:spacing w:line="360" w:lineRule="exact"/>
    </w:pPr>
    <w:rPr>
      <w:rFonts w:ascii="宋体"/>
      <w:sz w:val="24"/>
    </w:rPr>
  </w:style>
  <w:style w:type="paragraph" w:customStyle="1" w:styleId="122">
    <w:name w:val="tablecontents"/>
    <w:basedOn w:val="1"/>
    <w:qFormat/>
    <w:uiPriority w:val="0"/>
    <w:pPr>
      <w:widowControl/>
      <w:spacing w:after="60"/>
    </w:pPr>
    <w:rPr>
      <w:rFonts w:ascii="Arial" w:hAnsi="Arial"/>
      <w:kern w:val="0"/>
      <w:sz w:val="20"/>
    </w:rPr>
  </w:style>
  <w:style w:type="paragraph" w:customStyle="1" w:styleId="123">
    <w:name w:val="5 Char Char Char Char"/>
    <w:basedOn w:val="1"/>
    <w:qFormat/>
    <w:uiPriority w:val="0"/>
    <w:pPr>
      <w:keepNext/>
      <w:keepLines/>
      <w:spacing w:line="360" w:lineRule="auto"/>
      <w:ind w:firstLine="480" w:firstLineChars="200"/>
    </w:pPr>
    <w:rPr>
      <w:kern w:val="0"/>
      <w:sz w:val="24"/>
    </w:rPr>
  </w:style>
  <w:style w:type="paragraph" w:customStyle="1" w:styleId="124">
    <w:name w:val="Char Char Char Char Char Char Char"/>
    <w:basedOn w:val="1"/>
    <w:qFormat/>
    <w:uiPriority w:val="0"/>
    <w:pPr>
      <w:adjustRightInd w:val="0"/>
      <w:spacing w:line="360" w:lineRule="auto"/>
    </w:pPr>
    <w:rPr>
      <w:rFonts w:ascii="Tahoma" w:hAnsi="Tahoma"/>
      <w:kern w:val="0"/>
      <w:sz w:val="24"/>
    </w:rPr>
  </w:style>
  <w:style w:type="character" w:customStyle="1" w:styleId="125">
    <w:name w:val="readmail_locationtip"/>
    <w:qFormat/>
    <w:uiPriority w:val="0"/>
  </w:style>
  <w:style w:type="table" w:customStyle="1" w:styleId="12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7">
    <w:name w:val="TOC 11"/>
    <w:basedOn w:val="1"/>
    <w:next w:val="1"/>
    <w:qFormat/>
    <w:locked/>
    <w:uiPriority w:val="39"/>
    <w:rPr>
      <w:szCs w:val="21"/>
    </w:rPr>
  </w:style>
  <w:style w:type="character" w:customStyle="1" w:styleId="128">
    <w:name w:val="副标题 字符"/>
    <w:basedOn w:val="60"/>
    <w:link w:val="40"/>
    <w:qFormat/>
    <w:uiPriority w:val="0"/>
    <w:rPr>
      <w:rFonts w:ascii="Cambria" w:hAnsi="Cambria"/>
      <w:b/>
      <w:bCs/>
      <w:kern w:val="28"/>
      <w:sz w:val="32"/>
      <w:szCs w:val="32"/>
    </w:rPr>
  </w:style>
  <w:style w:type="character" w:customStyle="1" w:styleId="129">
    <w:name w:val="技术规范书正文 Char"/>
    <w:link w:val="130"/>
    <w:qFormat/>
    <w:locked/>
    <w:uiPriority w:val="0"/>
    <w:rPr>
      <w:kern w:val="2"/>
      <w:sz w:val="24"/>
      <w:szCs w:val="24"/>
    </w:rPr>
  </w:style>
  <w:style w:type="paragraph" w:customStyle="1" w:styleId="130">
    <w:name w:val="技术规范书正文"/>
    <w:link w:val="129"/>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1">
    <w:name w:val="TOC 41"/>
    <w:basedOn w:val="1"/>
    <w:next w:val="1"/>
    <w:qFormat/>
    <w:locked/>
    <w:uiPriority w:val="0"/>
    <w:pPr>
      <w:ind w:left="1260" w:leftChars="600"/>
    </w:pPr>
    <w:rPr>
      <w:szCs w:val="21"/>
    </w:rPr>
  </w:style>
  <w:style w:type="paragraph" w:customStyle="1" w:styleId="132">
    <w:name w:val="TOC 51"/>
    <w:basedOn w:val="1"/>
    <w:next w:val="1"/>
    <w:qFormat/>
    <w:locked/>
    <w:uiPriority w:val="0"/>
    <w:pPr>
      <w:ind w:left="1680" w:leftChars="800"/>
    </w:pPr>
    <w:rPr>
      <w:szCs w:val="21"/>
    </w:rPr>
  </w:style>
  <w:style w:type="paragraph" w:customStyle="1" w:styleId="133">
    <w:name w:val="TOC 71"/>
    <w:basedOn w:val="1"/>
    <w:next w:val="1"/>
    <w:qFormat/>
    <w:locked/>
    <w:uiPriority w:val="0"/>
    <w:pPr>
      <w:ind w:left="2520" w:leftChars="1200"/>
    </w:pPr>
    <w:rPr>
      <w:szCs w:val="21"/>
    </w:rPr>
  </w:style>
  <w:style w:type="paragraph" w:customStyle="1" w:styleId="134">
    <w:name w:val="TOC 21"/>
    <w:basedOn w:val="1"/>
    <w:next w:val="1"/>
    <w:qFormat/>
    <w:locked/>
    <w:uiPriority w:val="0"/>
    <w:pPr>
      <w:ind w:left="420" w:leftChars="200"/>
    </w:pPr>
    <w:rPr>
      <w:szCs w:val="21"/>
    </w:rPr>
  </w:style>
  <w:style w:type="paragraph" w:customStyle="1" w:styleId="135">
    <w:name w:val="TOC 61"/>
    <w:basedOn w:val="1"/>
    <w:next w:val="1"/>
    <w:qFormat/>
    <w:locked/>
    <w:uiPriority w:val="0"/>
    <w:pPr>
      <w:ind w:left="2100" w:leftChars="1000"/>
    </w:pPr>
    <w:rPr>
      <w:szCs w:val="21"/>
    </w:rPr>
  </w:style>
  <w:style w:type="paragraph" w:customStyle="1" w:styleId="136">
    <w:name w:val="TOC 31"/>
    <w:basedOn w:val="1"/>
    <w:next w:val="1"/>
    <w:qFormat/>
    <w:locked/>
    <w:uiPriority w:val="0"/>
    <w:pPr>
      <w:ind w:left="840" w:leftChars="400"/>
    </w:pPr>
    <w:rPr>
      <w:szCs w:val="21"/>
    </w:rPr>
  </w:style>
  <w:style w:type="paragraph" w:customStyle="1" w:styleId="137">
    <w:name w:val="TOC 91"/>
    <w:basedOn w:val="1"/>
    <w:next w:val="1"/>
    <w:qFormat/>
    <w:locked/>
    <w:uiPriority w:val="0"/>
    <w:pPr>
      <w:ind w:left="3360" w:leftChars="1600"/>
    </w:pPr>
    <w:rPr>
      <w:szCs w:val="21"/>
    </w:rPr>
  </w:style>
  <w:style w:type="paragraph" w:customStyle="1" w:styleId="138">
    <w:name w:val="TOC 81"/>
    <w:basedOn w:val="1"/>
    <w:next w:val="1"/>
    <w:qFormat/>
    <w:locked/>
    <w:uiPriority w:val="0"/>
    <w:pPr>
      <w:ind w:left="2940" w:leftChars="1400"/>
    </w:pPr>
    <w:rPr>
      <w:szCs w:val="21"/>
    </w:rPr>
  </w:style>
  <w:style w:type="paragraph" w:customStyle="1" w:styleId="139">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0">
    <w:name w:val="正文1"/>
    <w:basedOn w:val="1"/>
    <w:link w:val="185"/>
    <w:qFormat/>
    <w:uiPriority w:val="0"/>
    <w:pPr>
      <w:adjustRightInd w:val="0"/>
      <w:spacing w:line="360" w:lineRule="atLeast"/>
      <w:jc w:val="left"/>
      <w:textAlignment w:val="baseline"/>
    </w:pPr>
    <w:rPr>
      <w:rFonts w:ascii="宋体"/>
      <w:kern w:val="0"/>
      <w:sz w:val="24"/>
    </w:rPr>
  </w:style>
  <w:style w:type="paragraph" w:customStyle="1" w:styleId="141">
    <w:name w:val="样式1"/>
    <w:basedOn w:val="1"/>
    <w:link w:val="184"/>
    <w:qFormat/>
    <w:uiPriority w:val="0"/>
    <w:pPr>
      <w:adjustRightInd w:val="0"/>
      <w:spacing w:line="420" w:lineRule="auto"/>
      <w:jc w:val="center"/>
      <w:textAlignment w:val="baseline"/>
    </w:pPr>
    <w:rPr>
      <w:rFonts w:ascii="宋体"/>
      <w:kern w:val="0"/>
      <w:sz w:val="24"/>
      <w:szCs w:val="24"/>
    </w:rPr>
  </w:style>
  <w:style w:type="paragraph" w:customStyle="1" w:styleId="142">
    <w:name w:val="Char Char1 Char"/>
    <w:basedOn w:val="1"/>
    <w:qFormat/>
    <w:uiPriority w:val="0"/>
    <w:rPr>
      <w:rFonts w:ascii="宋体"/>
      <w:kern w:val="0"/>
      <w:sz w:val="24"/>
    </w:rPr>
  </w:style>
  <w:style w:type="paragraph" w:customStyle="1" w:styleId="143">
    <w:name w:val="纯文本1"/>
    <w:basedOn w:val="1"/>
    <w:qFormat/>
    <w:uiPriority w:val="0"/>
    <w:rPr>
      <w:rFonts w:ascii="宋体" w:hAnsi="Courier New"/>
    </w:rPr>
  </w:style>
  <w:style w:type="paragraph" w:customStyle="1" w:styleId="144">
    <w:name w:val="p0"/>
    <w:basedOn w:val="1"/>
    <w:qFormat/>
    <w:uiPriority w:val="0"/>
    <w:pPr>
      <w:widowControl/>
    </w:pPr>
    <w:rPr>
      <w:kern w:val="0"/>
      <w:szCs w:val="21"/>
    </w:rPr>
  </w:style>
  <w:style w:type="paragraph" w:customStyle="1" w:styleId="145">
    <w:name w:val="Char Char Char Char1"/>
    <w:basedOn w:val="1"/>
    <w:qFormat/>
    <w:uiPriority w:val="0"/>
    <w:rPr>
      <w:szCs w:val="24"/>
    </w:rPr>
  </w:style>
  <w:style w:type="character" w:customStyle="1" w:styleId="146">
    <w:name w:val="正文文本首行缩进 字符"/>
    <w:basedOn w:val="86"/>
    <w:link w:val="56"/>
    <w:qFormat/>
    <w:uiPriority w:val="0"/>
    <w:rPr>
      <w:rFonts w:ascii="宋体" w:hAnsi="宋体"/>
      <w:color w:val="0000FF"/>
      <w:kern w:val="2"/>
      <w:sz w:val="24"/>
      <w:szCs w:val="24"/>
    </w:rPr>
  </w:style>
  <w:style w:type="character" w:customStyle="1" w:styleId="147">
    <w:name w:val="标题 1 Char1"/>
    <w:basedOn w:val="60"/>
    <w:qFormat/>
    <w:uiPriority w:val="0"/>
    <w:rPr>
      <w:rFonts w:eastAsia="宋体"/>
      <w:b/>
      <w:bCs/>
      <w:color w:val="000000"/>
      <w:kern w:val="44"/>
      <w:sz w:val="24"/>
      <w:szCs w:val="32"/>
      <w:lang w:val="en-US" w:eastAsia="zh-CN" w:bidi="ar-SA"/>
    </w:rPr>
  </w:style>
  <w:style w:type="character" w:customStyle="1" w:styleId="148">
    <w:name w:val="标题 2 Char1"/>
    <w:basedOn w:val="60"/>
    <w:qFormat/>
    <w:uiPriority w:val="0"/>
    <w:rPr>
      <w:rFonts w:eastAsia="宋体"/>
      <w:b/>
      <w:bCs/>
      <w:kern w:val="2"/>
      <w:sz w:val="24"/>
      <w:lang w:val="en-US" w:eastAsia="zh-CN" w:bidi="ar-SA"/>
    </w:rPr>
  </w:style>
  <w:style w:type="paragraph" w:customStyle="1" w:styleId="149">
    <w:name w:val="Char Char Char"/>
    <w:basedOn w:val="1"/>
    <w:qFormat/>
    <w:uiPriority w:val="0"/>
    <w:rPr>
      <w:sz w:val="24"/>
      <w:szCs w:val="24"/>
    </w:rPr>
  </w:style>
  <w:style w:type="paragraph" w:customStyle="1" w:styleId="150">
    <w:name w:val="Char1 Char Char Char"/>
    <w:basedOn w:val="1"/>
    <w:qFormat/>
    <w:uiPriority w:val="0"/>
    <w:rPr>
      <w:sz w:val="24"/>
      <w:szCs w:val="24"/>
    </w:rPr>
  </w:style>
  <w:style w:type="paragraph" w:customStyle="1" w:styleId="151">
    <w:name w:val="Char Char Char Char Char Char Char Char Char Char Char Char"/>
    <w:basedOn w:val="1"/>
    <w:qFormat/>
    <w:uiPriority w:val="0"/>
    <w:rPr>
      <w:szCs w:val="24"/>
    </w:rPr>
  </w:style>
  <w:style w:type="paragraph" w:customStyle="1" w:styleId="152">
    <w:name w:val="Char Char2 Char Char Char Char Char Char Char Char Char1"/>
    <w:basedOn w:val="1"/>
    <w:qFormat/>
    <w:uiPriority w:val="0"/>
    <w:rPr>
      <w:sz w:val="24"/>
      <w:szCs w:val="24"/>
    </w:rPr>
  </w:style>
  <w:style w:type="paragraph" w:customStyle="1" w:styleId="153">
    <w:name w:val="Char Char"/>
    <w:basedOn w:val="1"/>
    <w:qFormat/>
    <w:uiPriority w:val="0"/>
    <w:rPr>
      <w:sz w:val="24"/>
      <w:szCs w:val="24"/>
    </w:rPr>
  </w:style>
  <w:style w:type="paragraph" w:customStyle="1" w:styleId="154">
    <w:name w:val="表格"/>
    <w:basedOn w:val="1"/>
    <w:qFormat/>
    <w:uiPriority w:val="0"/>
    <w:pPr>
      <w:adjustRightInd w:val="0"/>
      <w:spacing w:before="60" w:after="60"/>
      <w:jc w:val="center"/>
      <w:textAlignment w:val="baseline"/>
    </w:pPr>
    <w:rPr>
      <w:rFonts w:ascii="宋体"/>
      <w:kern w:val="0"/>
      <w:sz w:val="24"/>
    </w:rPr>
  </w:style>
  <w:style w:type="paragraph" w:customStyle="1" w:styleId="155">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6">
    <w:name w:val="样式2"/>
    <w:basedOn w:val="1"/>
    <w:link w:val="180"/>
    <w:qFormat/>
    <w:uiPriority w:val="0"/>
    <w:pPr>
      <w:adjustRightInd w:val="0"/>
      <w:spacing w:line="410" w:lineRule="atLeast"/>
      <w:jc w:val="left"/>
      <w:textAlignment w:val="baseline"/>
    </w:pPr>
    <w:rPr>
      <w:kern w:val="0"/>
      <w:sz w:val="24"/>
    </w:rPr>
  </w:style>
  <w:style w:type="paragraph" w:customStyle="1" w:styleId="157">
    <w:name w:val="1-表内"/>
    <w:basedOn w:val="1"/>
    <w:qFormat/>
    <w:uiPriority w:val="0"/>
    <w:rPr>
      <w:rFonts w:ascii="宋体" w:hAnsi="宋体"/>
      <w:szCs w:val="21"/>
    </w:rPr>
  </w:style>
  <w:style w:type="paragraph" w:customStyle="1" w:styleId="158">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59">
    <w:name w:val="Char Char Char Char Char Char Char Char Char Char Char Char1 Char Char Char Char"/>
    <w:basedOn w:val="1"/>
    <w:qFormat/>
    <w:uiPriority w:val="0"/>
    <w:rPr>
      <w:szCs w:val="24"/>
    </w:rPr>
  </w:style>
  <w:style w:type="character" w:customStyle="1" w:styleId="160">
    <w:name w:val="章节标题 Char Char"/>
    <w:basedOn w:val="60"/>
    <w:qFormat/>
    <w:uiPriority w:val="0"/>
    <w:rPr>
      <w:kern w:val="44"/>
      <w:sz w:val="44"/>
      <w:szCs w:val="44"/>
    </w:rPr>
  </w:style>
  <w:style w:type="paragraph" w:customStyle="1" w:styleId="161">
    <w:name w:val="Char Char Char Char Char Char1"/>
    <w:basedOn w:val="1"/>
    <w:qFormat/>
    <w:uiPriority w:val="0"/>
    <w:rPr>
      <w:szCs w:val="24"/>
    </w:rPr>
  </w:style>
  <w:style w:type="paragraph" w:customStyle="1" w:styleId="162">
    <w:name w:val="报告正文"/>
    <w:basedOn w:val="1"/>
    <w:qFormat/>
    <w:uiPriority w:val="0"/>
    <w:pPr>
      <w:spacing w:line="400" w:lineRule="exact"/>
      <w:ind w:firstLine="482"/>
    </w:pPr>
    <w:rPr>
      <w:lang w:bidi="he-IL"/>
    </w:rPr>
  </w:style>
  <w:style w:type="paragraph" w:customStyle="1" w:styleId="163">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4">
    <w:name w:val="Char Char Char2"/>
    <w:basedOn w:val="1"/>
    <w:qFormat/>
    <w:uiPriority w:val="0"/>
    <w:rPr>
      <w:szCs w:val="24"/>
    </w:rPr>
  </w:style>
  <w:style w:type="paragraph" w:customStyle="1" w:styleId="165">
    <w:name w:val="默认段落字体 Para Char Char Char Char"/>
    <w:basedOn w:val="1"/>
    <w:qFormat/>
    <w:uiPriority w:val="0"/>
    <w:rPr>
      <w:szCs w:val="24"/>
    </w:rPr>
  </w:style>
  <w:style w:type="paragraph" w:customStyle="1" w:styleId="166">
    <w:name w:val="Char Char1"/>
    <w:basedOn w:val="1"/>
    <w:qFormat/>
    <w:uiPriority w:val="0"/>
    <w:pPr>
      <w:adjustRightInd w:val="0"/>
      <w:spacing w:line="360" w:lineRule="atLeast"/>
      <w:jc w:val="left"/>
      <w:textAlignment w:val="baseline"/>
    </w:pPr>
    <w:rPr>
      <w:kern w:val="0"/>
      <w:sz w:val="24"/>
    </w:rPr>
  </w:style>
  <w:style w:type="character" w:customStyle="1" w:styleId="167">
    <w:name w:val="章节标题 Char"/>
    <w:qFormat/>
    <w:uiPriority w:val="0"/>
    <w:rPr>
      <w:rFonts w:eastAsia="宋体"/>
      <w:b/>
      <w:bCs/>
      <w:kern w:val="44"/>
      <w:sz w:val="44"/>
      <w:szCs w:val="44"/>
      <w:lang w:val="en-US" w:eastAsia="zh-CN" w:bidi="ar-SA"/>
    </w:rPr>
  </w:style>
  <w:style w:type="character" w:customStyle="1" w:styleId="168">
    <w:name w:val="标题 2 Char"/>
    <w:qFormat/>
    <w:uiPriority w:val="0"/>
    <w:rPr>
      <w:rFonts w:ascii="Arial" w:hAnsi="Arial" w:eastAsia="黑体"/>
      <w:b/>
      <w:bCs/>
      <w:kern w:val="2"/>
      <w:sz w:val="32"/>
      <w:szCs w:val="32"/>
      <w:lang w:val="en-US" w:eastAsia="zh-CN" w:bidi="ar-SA"/>
    </w:rPr>
  </w:style>
  <w:style w:type="character" w:customStyle="1" w:styleId="169">
    <w:name w:val="标题 3 Char"/>
    <w:qFormat/>
    <w:uiPriority w:val="0"/>
    <w:rPr>
      <w:rFonts w:eastAsia="宋体"/>
      <w:b/>
      <w:bCs/>
      <w:kern w:val="2"/>
      <w:sz w:val="32"/>
      <w:szCs w:val="32"/>
      <w:lang w:val="en-US" w:eastAsia="zh-CN" w:bidi="ar-SA"/>
    </w:rPr>
  </w:style>
  <w:style w:type="character" w:customStyle="1" w:styleId="170">
    <w:name w:val="标题 4 Char"/>
    <w:qFormat/>
    <w:uiPriority w:val="0"/>
    <w:rPr>
      <w:rFonts w:ascii="Arial" w:hAnsi="Arial" w:eastAsia="黑体"/>
      <w:b/>
      <w:bCs/>
      <w:kern w:val="2"/>
      <w:sz w:val="28"/>
      <w:szCs w:val="28"/>
      <w:lang w:val="en-US" w:eastAsia="zh-CN" w:bidi="ar-SA"/>
    </w:rPr>
  </w:style>
  <w:style w:type="character" w:customStyle="1" w:styleId="171">
    <w:name w:val="正文缩进 Char1"/>
    <w:qFormat/>
    <w:uiPriority w:val="0"/>
    <w:rPr>
      <w:rFonts w:eastAsia="宋体"/>
      <w:kern w:val="2"/>
      <w:sz w:val="21"/>
      <w:szCs w:val="24"/>
      <w:lang w:val="en-US" w:eastAsia="zh-CN" w:bidi="ar-SA"/>
    </w:rPr>
  </w:style>
  <w:style w:type="character" w:customStyle="1" w:styleId="172">
    <w:name w:val="标题 5 Char"/>
    <w:qFormat/>
    <w:uiPriority w:val="0"/>
    <w:rPr>
      <w:rFonts w:ascii="小标宋" w:eastAsia="宋体"/>
      <w:kern w:val="2"/>
      <w:sz w:val="24"/>
      <w:szCs w:val="24"/>
      <w:lang w:val="en-US" w:eastAsia="zh-CN" w:bidi="he-IL"/>
    </w:rPr>
  </w:style>
  <w:style w:type="character" w:customStyle="1" w:styleId="173">
    <w:name w:val="标题 6 Char"/>
    <w:qFormat/>
    <w:uiPriority w:val="0"/>
    <w:rPr>
      <w:rFonts w:ascii="Arial" w:hAnsi="Arial" w:eastAsia="黑体"/>
      <w:kern w:val="2"/>
      <w:sz w:val="24"/>
      <w:szCs w:val="24"/>
      <w:lang w:val="en-US" w:eastAsia="zh-CN" w:bidi="he-IL"/>
    </w:rPr>
  </w:style>
  <w:style w:type="character" w:customStyle="1" w:styleId="174">
    <w:name w:val="标题 7 Char"/>
    <w:qFormat/>
    <w:uiPriority w:val="0"/>
    <w:rPr>
      <w:rFonts w:ascii="宋体" w:eastAsia="宋体"/>
      <w:kern w:val="2"/>
      <w:sz w:val="24"/>
      <w:szCs w:val="24"/>
      <w:lang w:val="en-US" w:eastAsia="zh-CN" w:bidi="he-IL"/>
    </w:rPr>
  </w:style>
  <w:style w:type="character" w:customStyle="1" w:styleId="175">
    <w:name w:val="标题 9 Char"/>
    <w:qFormat/>
    <w:uiPriority w:val="0"/>
    <w:rPr>
      <w:rFonts w:ascii="Arial" w:hAnsi="Arial" w:eastAsia="黑体"/>
      <w:kern w:val="2"/>
      <w:sz w:val="21"/>
      <w:szCs w:val="21"/>
      <w:lang w:val="en-US" w:eastAsia="zh-CN" w:bidi="ar-SA"/>
    </w:rPr>
  </w:style>
  <w:style w:type="character" w:customStyle="1" w:styleId="176">
    <w:name w:val="日期 Char"/>
    <w:qFormat/>
    <w:uiPriority w:val="0"/>
    <w:rPr>
      <w:rFonts w:eastAsia="宋体"/>
      <w:kern w:val="2"/>
      <w:sz w:val="21"/>
      <w:szCs w:val="24"/>
      <w:lang w:val="en-US" w:eastAsia="zh-CN" w:bidi="ar-SA"/>
    </w:rPr>
  </w:style>
  <w:style w:type="character" w:customStyle="1" w:styleId="177">
    <w:name w:val="页眉 Char"/>
    <w:qFormat/>
    <w:uiPriority w:val="0"/>
    <w:rPr>
      <w:rFonts w:eastAsia="宋体"/>
      <w:kern w:val="2"/>
      <w:sz w:val="18"/>
      <w:szCs w:val="18"/>
      <w:lang w:val="en-US" w:eastAsia="zh-CN" w:bidi="ar-SA"/>
    </w:rPr>
  </w:style>
  <w:style w:type="character" w:customStyle="1" w:styleId="178">
    <w:name w:val="文档结构图 Char"/>
    <w:qFormat/>
    <w:uiPriority w:val="0"/>
    <w:rPr>
      <w:rFonts w:eastAsia="宋体"/>
      <w:sz w:val="21"/>
      <w:szCs w:val="21"/>
      <w:lang w:val="zh-CN" w:eastAsia="zh-CN" w:bidi="ar-SA"/>
    </w:rPr>
  </w:style>
  <w:style w:type="character" w:customStyle="1" w:styleId="179">
    <w:name w:val="正文文本 Char"/>
    <w:qFormat/>
    <w:uiPriority w:val="0"/>
    <w:rPr>
      <w:rFonts w:eastAsia="宋体"/>
      <w:sz w:val="24"/>
      <w:lang w:val="zh-CN" w:eastAsia="zh-CN" w:bidi="ar-SA"/>
    </w:rPr>
  </w:style>
  <w:style w:type="character" w:customStyle="1" w:styleId="180">
    <w:name w:val="样式2 Char1"/>
    <w:link w:val="156"/>
    <w:qFormat/>
    <w:uiPriority w:val="0"/>
    <w:rPr>
      <w:sz w:val="24"/>
    </w:rPr>
  </w:style>
  <w:style w:type="character" w:customStyle="1" w:styleId="181">
    <w:name w:val="正文文本缩进 Char"/>
    <w:qFormat/>
    <w:uiPriority w:val="0"/>
    <w:rPr>
      <w:rFonts w:eastAsia="宋体"/>
      <w:kern w:val="2"/>
      <w:sz w:val="21"/>
      <w:szCs w:val="24"/>
      <w:lang w:val="en-US" w:eastAsia="zh-CN" w:bidi="ar-SA"/>
    </w:rPr>
  </w:style>
  <w:style w:type="paragraph" w:customStyle="1" w:styleId="182">
    <w:name w:val="样式"/>
    <w:link w:val="183"/>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3">
    <w:name w:val="样式 Char"/>
    <w:link w:val="182"/>
    <w:qFormat/>
    <w:uiPriority w:val="0"/>
    <w:rPr>
      <w:rFonts w:ascii="宋体" w:hAnsi="宋体" w:cs="宋体"/>
      <w:sz w:val="24"/>
      <w:szCs w:val="24"/>
    </w:rPr>
  </w:style>
  <w:style w:type="character" w:customStyle="1" w:styleId="184">
    <w:name w:val="样式1 Char"/>
    <w:link w:val="141"/>
    <w:qFormat/>
    <w:uiPriority w:val="0"/>
    <w:rPr>
      <w:rFonts w:ascii="宋体"/>
      <w:sz w:val="24"/>
      <w:szCs w:val="24"/>
    </w:rPr>
  </w:style>
  <w:style w:type="character" w:customStyle="1" w:styleId="185">
    <w:name w:val="正文1 Char"/>
    <w:link w:val="140"/>
    <w:qFormat/>
    <w:uiPriority w:val="0"/>
    <w:rPr>
      <w:rFonts w:ascii="宋体"/>
      <w:sz w:val="24"/>
    </w:rPr>
  </w:style>
  <w:style w:type="character" w:customStyle="1" w:styleId="186">
    <w:name w:val="批注框文本 Char"/>
    <w:qFormat/>
    <w:uiPriority w:val="0"/>
    <w:rPr>
      <w:rFonts w:eastAsia="宋体"/>
      <w:kern w:val="2"/>
      <w:sz w:val="18"/>
      <w:szCs w:val="18"/>
      <w:lang w:val="en-US" w:eastAsia="zh-CN" w:bidi="ar-SA"/>
    </w:rPr>
  </w:style>
  <w:style w:type="character" w:customStyle="1" w:styleId="187">
    <w:name w:val="正文文本缩进 2 Char"/>
    <w:link w:val="188"/>
    <w:qFormat/>
    <w:uiPriority w:val="0"/>
    <w:rPr>
      <w:sz w:val="24"/>
    </w:rPr>
  </w:style>
  <w:style w:type="paragraph" w:customStyle="1" w:styleId="188">
    <w:name w:val="正文文本缩进 21"/>
    <w:basedOn w:val="1"/>
    <w:link w:val="187"/>
    <w:qFormat/>
    <w:uiPriority w:val="0"/>
    <w:pPr>
      <w:ind w:firstLine="840"/>
    </w:pPr>
    <w:rPr>
      <w:kern w:val="0"/>
      <w:sz w:val="24"/>
    </w:rPr>
  </w:style>
  <w:style w:type="character" w:customStyle="1" w:styleId="189">
    <w:name w:val="标书正文 Char Char"/>
    <w:link w:val="190"/>
    <w:qFormat/>
    <w:uiPriority w:val="0"/>
    <w:rPr>
      <w:kern w:val="2"/>
      <w:sz w:val="24"/>
      <w:szCs w:val="24"/>
    </w:rPr>
  </w:style>
  <w:style w:type="paragraph" w:customStyle="1" w:styleId="190">
    <w:name w:val="标书正文"/>
    <w:basedOn w:val="1"/>
    <w:link w:val="189"/>
    <w:qFormat/>
    <w:uiPriority w:val="0"/>
    <w:pPr>
      <w:spacing w:line="360" w:lineRule="auto"/>
      <w:ind w:firstLine="200" w:firstLineChars="200"/>
      <w:jc w:val="left"/>
    </w:pPr>
    <w:rPr>
      <w:sz w:val="24"/>
      <w:szCs w:val="24"/>
    </w:rPr>
  </w:style>
  <w:style w:type="character" w:customStyle="1" w:styleId="191">
    <w:name w:val="二级标题 Char Char"/>
    <w:link w:val="192"/>
    <w:qFormat/>
    <w:uiPriority w:val="0"/>
    <w:rPr>
      <w:rFonts w:ascii="宋体"/>
      <w:bCs/>
      <w:color w:val="000000"/>
      <w:sz w:val="24"/>
      <w:szCs w:val="24"/>
    </w:rPr>
  </w:style>
  <w:style w:type="paragraph" w:customStyle="1" w:styleId="192">
    <w:name w:val="二级标题"/>
    <w:basedOn w:val="1"/>
    <w:link w:val="191"/>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3">
    <w:name w:val="样式 标题 1b1章节标题章标题 1-*+h11st levelSection Headl1 + 四号 Char Char"/>
    <w:link w:val="194"/>
    <w:qFormat/>
    <w:uiPriority w:val="0"/>
    <w:rPr>
      <w:b/>
      <w:bCs/>
      <w:color w:val="000000"/>
      <w:kern w:val="44"/>
      <w:sz w:val="28"/>
      <w:szCs w:val="28"/>
    </w:rPr>
  </w:style>
  <w:style w:type="paragraph" w:customStyle="1" w:styleId="194">
    <w:name w:val="样式 标题 1b1章节标题章标题 1-*+h11st levelSection Headl1 + 四号"/>
    <w:basedOn w:val="195"/>
    <w:link w:val="193"/>
    <w:qFormat/>
    <w:uiPriority w:val="0"/>
    <w:pPr>
      <w:tabs>
        <w:tab w:val="left" w:leader="dot" w:pos="0"/>
        <w:tab w:val="left" w:pos="900"/>
      </w:tabs>
      <w:spacing w:before="0"/>
      <w:ind w:left="0" w:firstLine="0"/>
    </w:pPr>
    <w:rPr>
      <w:bCs/>
      <w:color w:val="000000"/>
      <w:szCs w:val="28"/>
    </w:rPr>
  </w:style>
  <w:style w:type="paragraph" w:customStyle="1" w:styleId="195">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6">
    <w:name w:val="YJB1 Char Char"/>
    <w:link w:val="197"/>
    <w:qFormat/>
    <w:uiPriority w:val="0"/>
    <w:rPr>
      <w:rFonts w:ascii="Arial" w:hAnsi="Arial"/>
      <w:kern w:val="2"/>
      <w:sz w:val="24"/>
      <w:szCs w:val="24"/>
    </w:rPr>
  </w:style>
  <w:style w:type="paragraph" w:customStyle="1" w:styleId="197">
    <w:name w:val="YJB1"/>
    <w:basedOn w:val="1"/>
    <w:link w:val="196"/>
    <w:qFormat/>
    <w:uiPriority w:val="0"/>
    <w:pPr>
      <w:spacing w:line="360" w:lineRule="auto"/>
      <w:ind w:left="450" w:leftChars="450"/>
    </w:pPr>
    <w:rPr>
      <w:rFonts w:ascii="Arial" w:hAnsi="Arial"/>
      <w:sz w:val="24"/>
      <w:szCs w:val="24"/>
    </w:rPr>
  </w:style>
  <w:style w:type="character" w:customStyle="1" w:styleId="198">
    <w:name w:val="YJB2 Char Char"/>
    <w:link w:val="199"/>
    <w:qFormat/>
    <w:uiPriority w:val="0"/>
    <w:rPr>
      <w:rFonts w:ascii="Arial" w:hAnsi="Arial"/>
      <w:kern w:val="2"/>
      <w:sz w:val="24"/>
      <w:szCs w:val="24"/>
    </w:rPr>
  </w:style>
  <w:style w:type="paragraph" w:customStyle="1" w:styleId="199">
    <w:name w:val="YJB2"/>
    <w:basedOn w:val="1"/>
    <w:link w:val="198"/>
    <w:qFormat/>
    <w:uiPriority w:val="0"/>
    <w:pPr>
      <w:spacing w:line="360" w:lineRule="auto"/>
      <w:ind w:left="450" w:hanging="450" w:hangingChars="450"/>
    </w:pPr>
    <w:rPr>
      <w:rFonts w:ascii="Arial" w:hAnsi="Arial"/>
      <w:sz w:val="24"/>
      <w:szCs w:val="24"/>
    </w:rPr>
  </w:style>
  <w:style w:type="character" w:customStyle="1" w:styleId="200">
    <w:name w:val="样式 标题 1章节标题 + 三号 Char Char"/>
    <w:link w:val="201"/>
    <w:qFormat/>
    <w:uiPriority w:val="0"/>
    <w:rPr>
      <w:b/>
      <w:bCs/>
      <w:kern w:val="44"/>
      <w:sz w:val="32"/>
      <w:szCs w:val="44"/>
    </w:rPr>
  </w:style>
  <w:style w:type="paragraph" w:customStyle="1" w:styleId="201">
    <w:name w:val="样式 标题 1章节标题 + 三号"/>
    <w:basedOn w:val="2"/>
    <w:link w:val="200"/>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2">
    <w:name w:val="正文文本缩进 22"/>
    <w:basedOn w:val="1"/>
    <w:qFormat/>
    <w:uiPriority w:val="0"/>
    <w:pPr>
      <w:ind w:firstLine="840"/>
    </w:pPr>
    <w:rPr>
      <w:kern w:val="0"/>
      <w:sz w:val="24"/>
      <w:lang w:val="zh-CN" w:eastAsia="zh-CN"/>
    </w:rPr>
  </w:style>
  <w:style w:type="paragraph" w:customStyle="1" w:styleId="203">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4">
    <w:name w:val="正文文本 3 字符"/>
    <w:basedOn w:val="60"/>
    <w:link w:val="23"/>
    <w:qFormat/>
    <w:uiPriority w:val="0"/>
    <w:rPr>
      <w:kern w:val="2"/>
      <w:sz w:val="16"/>
      <w:szCs w:val="16"/>
    </w:rPr>
  </w:style>
  <w:style w:type="character" w:customStyle="1" w:styleId="205">
    <w:name w:val="信息标题 字符"/>
    <w:basedOn w:val="60"/>
    <w:link w:val="49"/>
    <w:qFormat/>
    <w:uiPriority w:val="0"/>
    <w:rPr>
      <w:rFonts w:ascii="Arial" w:hAnsi="Arial"/>
      <w:spacing w:val="-5"/>
    </w:rPr>
  </w:style>
  <w:style w:type="paragraph" w:customStyle="1" w:styleId="206">
    <w:name w:val="日期2"/>
    <w:basedOn w:val="1"/>
    <w:next w:val="1"/>
    <w:qFormat/>
    <w:uiPriority w:val="0"/>
    <w:pPr>
      <w:adjustRightInd w:val="0"/>
      <w:spacing w:line="312" w:lineRule="atLeast"/>
      <w:textAlignment w:val="baseline"/>
    </w:pPr>
    <w:rPr>
      <w:kern w:val="0"/>
      <w:sz w:val="28"/>
      <w:szCs w:val="28"/>
    </w:rPr>
  </w:style>
  <w:style w:type="paragraph" w:customStyle="1" w:styleId="207">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8">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0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1">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2">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8">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0">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1">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4">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5">
    <w:name w:val="Char21"/>
    <w:basedOn w:val="1"/>
    <w:qFormat/>
    <w:uiPriority w:val="0"/>
    <w:pPr>
      <w:adjustRightInd w:val="0"/>
      <w:spacing w:line="360" w:lineRule="atLeast"/>
    </w:pPr>
    <w:rPr>
      <w:szCs w:val="24"/>
    </w:rPr>
  </w:style>
  <w:style w:type="paragraph" w:customStyle="1" w:styleId="226">
    <w:name w:val="列出段落"/>
    <w:basedOn w:val="1"/>
    <w:qFormat/>
    <w:uiPriority w:val="0"/>
    <w:pPr>
      <w:ind w:firstLine="420" w:firstLineChars="200"/>
    </w:pPr>
    <w:rPr>
      <w:rFonts w:ascii="Calibri" w:hAnsi="Calibri"/>
      <w:szCs w:val="22"/>
    </w:rPr>
  </w:style>
  <w:style w:type="paragraph" w:customStyle="1" w:styleId="227">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8">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29">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0">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Char Char Char Char Char Char Char1"/>
    <w:basedOn w:val="1"/>
    <w:qFormat/>
    <w:uiPriority w:val="0"/>
    <w:rPr>
      <w:szCs w:val="24"/>
    </w:rPr>
  </w:style>
  <w:style w:type="paragraph" w:customStyle="1" w:styleId="233">
    <w:name w:val="Char Char Char Char Char Char Char Char Char1"/>
    <w:basedOn w:val="1"/>
    <w:qFormat/>
    <w:uiPriority w:val="0"/>
    <w:rPr>
      <w:szCs w:val="24"/>
    </w:rPr>
  </w:style>
  <w:style w:type="paragraph" w:customStyle="1" w:styleId="234">
    <w:name w:val="纯文本3"/>
    <w:basedOn w:val="1"/>
    <w:qFormat/>
    <w:uiPriority w:val="0"/>
    <w:pPr>
      <w:adjustRightInd w:val="0"/>
      <w:textAlignment w:val="baseline"/>
    </w:pPr>
    <w:rPr>
      <w:rFonts w:ascii="宋体" w:hAnsi="Courier New"/>
    </w:rPr>
  </w:style>
  <w:style w:type="paragraph" w:customStyle="1" w:styleId="235">
    <w:name w:val="样式20"/>
    <w:basedOn w:val="52"/>
    <w:next w:val="52"/>
    <w:qFormat/>
    <w:uiPriority w:val="0"/>
    <w:pPr>
      <w:spacing w:line="360" w:lineRule="auto"/>
      <w:jc w:val="both"/>
      <w:textAlignment w:val="auto"/>
    </w:pPr>
  </w:style>
  <w:style w:type="paragraph" w:customStyle="1" w:styleId="236">
    <w:name w:val="Char Char Char Char Char Char Char Char Char Char Char Char Char1"/>
    <w:basedOn w:val="1"/>
    <w:qFormat/>
    <w:uiPriority w:val="0"/>
    <w:rPr>
      <w:szCs w:val="24"/>
    </w:rPr>
  </w:style>
  <w:style w:type="paragraph" w:customStyle="1" w:styleId="237">
    <w:name w:val="Char1 Char Char Char1"/>
    <w:basedOn w:val="1"/>
    <w:semiHidden/>
    <w:qFormat/>
    <w:uiPriority w:val="0"/>
    <w:pPr>
      <w:snapToGrid w:val="0"/>
      <w:spacing w:line="440" w:lineRule="atLeast"/>
    </w:pPr>
    <w:rPr>
      <w:rFonts w:ascii="宋体"/>
      <w:sz w:val="24"/>
      <w:szCs w:val="24"/>
    </w:rPr>
  </w:style>
  <w:style w:type="paragraph" w:customStyle="1" w:styleId="238">
    <w:name w:val="*正文_0"/>
    <w:basedOn w:val="1"/>
    <w:next w:val="1"/>
    <w:qFormat/>
    <w:uiPriority w:val="0"/>
    <w:pPr>
      <w:widowControl/>
      <w:ind w:firstLine="482"/>
    </w:pPr>
    <w:rPr>
      <w:rFonts w:ascii="微软雅黑" w:hAnsi="微软雅黑" w:eastAsia="微软雅黑"/>
      <w:kern w:val="0"/>
    </w:rPr>
  </w:style>
  <w:style w:type="character" w:customStyle="1" w:styleId="239">
    <w:name w:val="font21"/>
    <w:qFormat/>
    <w:uiPriority w:val="0"/>
    <w:rPr>
      <w:rFonts w:hint="eastAsia" w:ascii="仿宋_GB2312" w:eastAsia="仿宋_GB2312"/>
      <w:color w:val="000000"/>
      <w:sz w:val="24"/>
      <w:szCs w:val="24"/>
      <w:u w:val="none"/>
    </w:rPr>
  </w:style>
  <w:style w:type="character" w:customStyle="1" w:styleId="240">
    <w:name w:val="尾注文本 字符"/>
    <w:basedOn w:val="60"/>
    <w:link w:val="34"/>
    <w:qFormat/>
    <w:uiPriority w:val="0"/>
    <w:rPr>
      <w:rFonts w:ascii="宋体"/>
      <w:position w:val="-6"/>
      <w:sz w:val="24"/>
    </w:rPr>
  </w:style>
  <w:style w:type="character" w:customStyle="1" w:styleId="241">
    <w:name w:val="正文文本首行缩进 2 字符"/>
    <w:basedOn w:val="94"/>
    <w:link w:val="57"/>
    <w:qFormat/>
    <w:uiPriority w:val="0"/>
    <w:rPr>
      <w:kern w:val="2"/>
      <w:position w:val="-6"/>
      <w:sz w:val="24"/>
      <w:szCs w:val="24"/>
    </w:rPr>
  </w:style>
  <w:style w:type="paragraph" w:customStyle="1" w:styleId="242">
    <w:name w:val="标准正文"/>
    <w:basedOn w:val="1"/>
    <w:qFormat/>
    <w:uiPriority w:val="0"/>
    <w:pPr>
      <w:spacing w:beforeLines="20"/>
      <w:ind w:firstLine="200" w:firstLineChars="200"/>
    </w:pPr>
    <w:rPr>
      <w:kern w:val="0"/>
      <w:position w:val="-6"/>
      <w:sz w:val="24"/>
    </w:rPr>
  </w:style>
  <w:style w:type="character" w:customStyle="1" w:styleId="243">
    <w:name w:val="正文1 Char Char"/>
    <w:qFormat/>
    <w:uiPriority w:val="0"/>
    <w:rPr>
      <w:rFonts w:ascii="宋体" w:eastAsia="宋体"/>
      <w:sz w:val="24"/>
      <w:lang w:val="en-US" w:eastAsia="zh-CN" w:bidi="ar-SA"/>
    </w:rPr>
  </w:style>
  <w:style w:type="character" w:customStyle="1" w:styleId="244">
    <w:name w:val="页眉 Char Char Char Char Char"/>
    <w:qFormat/>
    <w:uiPriority w:val="0"/>
    <w:rPr>
      <w:rFonts w:ascii="宋体"/>
      <w:sz w:val="18"/>
    </w:rPr>
  </w:style>
  <w:style w:type="character" w:customStyle="1" w:styleId="245">
    <w:name w:val="技术规范书正文 Char Char"/>
    <w:qFormat/>
    <w:uiPriority w:val="0"/>
    <w:rPr>
      <w:kern w:val="2"/>
      <w:sz w:val="24"/>
      <w:szCs w:val="24"/>
      <w:lang w:val="en-US" w:eastAsia="zh-CN" w:bidi="ar-SA"/>
    </w:rPr>
  </w:style>
  <w:style w:type="paragraph" w:customStyle="1" w:styleId="246">
    <w:name w:val="•"/>
    <w:basedOn w:val="18"/>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49">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1">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2">
    <w:name w:val="封面副标题"/>
    <w:basedOn w:val="130"/>
    <w:qFormat/>
    <w:uiPriority w:val="0"/>
    <w:pPr>
      <w:widowControl w:val="0"/>
      <w:jc w:val="center"/>
    </w:pPr>
    <w:rPr>
      <w:rFonts w:eastAsia="黑体"/>
      <w:sz w:val="50"/>
    </w:rPr>
  </w:style>
  <w:style w:type="paragraph" w:customStyle="1" w:styleId="25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6">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7">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9">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0">
    <w:name w:val="杠"/>
    <w:basedOn w:val="18"/>
    <w:qFormat/>
    <w:uiPriority w:val="0"/>
    <w:pPr>
      <w:numPr>
        <w:ilvl w:val="0"/>
        <w:numId w:val="4"/>
      </w:numPr>
      <w:tabs>
        <w:tab w:val="left" w:pos="425"/>
      </w:tabs>
      <w:spacing w:before="120" w:line="300" w:lineRule="auto"/>
      <w:ind w:left="1559" w:hanging="425"/>
    </w:pPr>
    <w:rPr>
      <w:rFonts w:ascii="Arial" w:hAnsi="Arial" w:eastAsia="宋体"/>
      <w:kern w:val="2"/>
      <w:sz w:val="24"/>
    </w:rPr>
  </w:style>
  <w:style w:type="paragraph" w:customStyle="1" w:styleId="261">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2">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3">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5">
    <w:name w:val="日期3"/>
    <w:basedOn w:val="1"/>
    <w:next w:val="1"/>
    <w:qFormat/>
    <w:uiPriority w:val="0"/>
    <w:pPr>
      <w:adjustRightInd w:val="0"/>
    </w:pPr>
    <w:rPr>
      <w:kern w:val="0"/>
      <w:position w:val="-6"/>
      <w:sz w:val="28"/>
    </w:rPr>
  </w:style>
  <w:style w:type="paragraph" w:customStyle="1" w:styleId="266">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7">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8">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6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0">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1">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2">
    <w:name w:val="技术规范书正文缩进"/>
    <w:basedOn w:val="130"/>
    <w:qFormat/>
    <w:uiPriority w:val="0"/>
    <w:pPr>
      <w:widowControl w:val="0"/>
      <w:ind w:firstLine="480" w:firstLineChars="200"/>
    </w:pPr>
    <w:rPr>
      <w:rFonts w:ascii="Arial" w:hAnsi="Arial" w:cs="Arial"/>
      <w:bCs/>
    </w:rPr>
  </w:style>
  <w:style w:type="paragraph" w:customStyle="1" w:styleId="273">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4">
    <w:name w:val="正文3"/>
    <w:qFormat/>
    <w:uiPriority w:val="0"/>
    <w:pPr>
      <w:numPr>
        <w:ilvl w:val="0"/>
        <w:numId w:val="5"/>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6">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7">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8">
    <w:name w:val="样式 标题3 + 行距: 1.5 倍行距"/>
    <w:basedOn w:val="279"/>
    <w:qFormat/>
    <w:uiPriority w:val="0"/>
    <w:pPr>
      <w:keepNext w:val="0"/>
      <w:numPr>
        <w:numId w:val="0"/>
      </w:numPr>
      <w:tabs>
        <w:tab w:val="left" w:pos="495"/>
        <w:tab w:val="left" w:pos="720"/>
        <w:tab w:val="left" w:pos="851"/>
      </w:tabs>
    </w:pPr>
    <w:rPr>
      <w:rFonts w:ascii="宋体" w:hAnsi="宋体"/>
      <w:b/>
      <w:kern w:val="2"/>
    </w:rPr>
  </w:style>
  <w:style w:type="paragraph" w:customStyle="1" w:styleId="279">
    <w:name w:val="标题3"/>
    <w:basedOn w:val="5"/>
    <w:qFormat/>
    <w:uiPriority w:val="0"/>
    <w:pPr>
      <w:keepLines w:val="0"/>
      <w:numPr>
        <w:numId w:val="3"/>
      </w:numPr>
      <w:tabs>
        <w:tab w:val="left" w:pos="495"/>
        <w:tab w:val="left" w:pos="851"/>
      </w:tabs>
      <w:spacing w:before="0" w:after="0" w:line="360" w:lineRule="auto"/>
      <w:jc w:val="both"/>
    </w:pPr>
    <w:rPr>
      <w:b w:val="0"/>
      <w:position w:val="-6"/>
      <w:sz w:val="24"/>
    </w:rPr>
  </w:style>
  <w:style w:type="paragraph" w:customStyle="1" w:styleId="280">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2">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4">
    <w:name w:val="Char2"/>
    <w:basedOn w:val="1"/>
    <w:qFormat/>
    <w:uiPriority w:val="0"/>
    <w:rPr>
      <w:kern w:val="0"/>
      <w:position w:val="-6"/>
      <w:sz w:val="24"/>
    </w:rPr>
  </w:style>
  <w:style w:type="paragraph" w:customStyle="1" w:styleId="2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7">
    <w:name w:val="招标编号"/>
    <w:qFormat/>
    <w:uiPriority w:val="0"/>
    <w:pPr>
      <w:jc w:val="right"/>
    </w:pPr>
    <w:rPr>
      <w:rFonts w:ascii="Times New Roman" w:hAnsi="Times New Roman" w:eastAsia="宋体" w:cs="Times New Roman"/>
      <w:sz w:val="28"/>
      <w:lang w:val="en-US" w:eastAsia="zh-CN" w:bidi="ar-SA"/>
    </w:rPr>
  </w:style>
  <w:style w:type="paragraph" w:customStyle="1" w:styleId="28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9">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1">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2">
    <w:name w:val="Char Char Char Char Char Char Char2"/>
    <w:basedOn w:val="1"/>
    <w:qFormat/>
    <w:uiPriority w:val="0"/>
    <w:rPr>
      <w:kern w:val="0"/>
      <w:position w:val="-6"/>
      <w:sz w:val="24"/>
    </w:rPr>
  </w:style>
  <w:style w:type="paragraph" w:customStyle="1" w:styleId="293">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5">
    <w:name w:val="ST20_1"/>
    <w:basedOn w:val="1"/>
    <w:next w:val="1"/>
    <w:qFormat/>
    <w:uiPriority w:val="0"/>
    <w:pPr>
      <w:keepNext/>
      <w:keepLines/>
      <w:numPr>
        <w:ilvl w:val="0"/>
        <w:numId w:val="6"/>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7">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8">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299">
    <w:name w:val="Table Text"/>
    <w:basedOn w:val="1"/>
    <w:semiHidden/>
    <w:qFormat/>
    <w:uiPriority w:val="0"/>
    <w:rPr>
      <w:rFonts w:ascii="宋体" w:hAnsi="宋体" w:cs="宋体"/>
      <w:kern w:val="0"/>
      <w:position w:val="-6"/>
      <w:sz w:val="24"/>
      <w:szCs w:val="24"/>
      <w:lang w:eastAsia="en-US"/>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页码1"/>
    <w:qFormat/>
    <w:uiPriority w:val="0"/>
  </w:style>
  <w:style w:type="paragraph" w:customStyle="1" w:styleId="302">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3">
    <w:name w:val="表格文字2"/>
    <w:basedOn w:val="1"/>
    <w:qFormat/>
    <w:uiPriority w:val="0"/>
    <w:pPr>
      <w:jc w:val="left"/>
    </w:pPr>
    <w:rPr>
      <w:bCs/>
      <w:spacing w:val="10"/>
      <w:kern w:val="0"/>
      <w:szCs w:val="24"/>
    </w:rPr>
  </w:style>
  <w:style w:type="character" w:customStyle="1" w:styleId="304">
    <w:name w:val="font41"/>
    <w:qFormat/>
    <w:uiPriority w:val="0"/>
    <w:rPr>
      <w:rFonts w:hint="eastAsia" w:ascii="宋体" w:hAnsi="宋体" w:eastAsia="宋体" w:cs="宋体"/>
      <w:color w:val="000000"/>
      <w:sz w:val="21"/>
      <w:szCs w:val="21"/>
      <w:u w:val="none"/>
    </w:rPr>
  </w:style>
  <w:style w:type="paragraph" w:customStyle="1" w:styleId="305">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6">
    <w:name w:val="Table Paragraph"/>
    <w:basedOn w:val="1"/>
    <w:qFormat/>
    <w:uiPriority w:val="1"/>
    <w:rPr>
      <w:rFonts w:ascii="宋体" w:hAnsi="宋体" w:eastAsia="宋体" w:cs="宋体"/>
      <w:lang w:val="zh-CN" w:eastAsia="zh-CN" w:bidi="zh-CN"/>
    </w:rPr>
  </w:style>
  <w:style w:type="paragraph" w:customStyle="1" w:styleId="307">
    <w:name w:val="WPSOffice手动目录 2"/>
    <w:qFormat/>
    <w:uiPriority w:val="0"/>
    <w:pPr>
      <w:ind w:leftChars="200"/>
    </w:pPr>
    <w:rPr>
      <w:rFonts w:ascii="Calibri" w:hAnsi="Calibri" w:eastAsia="宋体" w:cs="Times New Roman"/>
      <w:sz w:val="20"/>
      <w:szCs w:val="20"/>
    </w:rPr>
  </w:style>
  <w:style w:type="paragraph" w:customStyle="1" w:styleId="308">
    <w:name w:val="1234"/>
    <w:basedOn w:val="1"/>
    <w:qFormat/>
    <w:uiPriority w:val="0"/>
    <w:pPr>
      <w:spacing w:line="360" w:lineRule="exact"/>
      <w:ind w:firstLine="200" w:firstLineChars="200"/>
    </w:pPr>
    <w:rPr>
      <w:rFonts w:ascii="宋体" w:hAnsi="新宋体"/>
      <w:bCs/>
    </w:rPr>
  </w:style>
  <w:style w:type="paragraph" w:customStyle="1" w:styleId="309">
    <w:name w:val="msonospacing"/>
    <w:basedOn w:val="1"/>
    <w:qFormat/>
    <w:uiPriority w:val="0"/>
    <w:rPr>
      <w:rFonts w:ascii="Times New Roman" w:hAnsi="Times New Roman"/>
    </w:rPr>
  </w:style>
  <w:style w:type="paragraph" w:customStyle="1" w:styleId="310">
    <w:name w:val="02 缩进"/>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52</Pages>
  <Words>6357</Words>
  <Characters>6740</Characters>
  <Lines>97</Lines>
  <Paragraphs>27</Paragraphs>
  <TotalTime>436</TotalTime>
  <ScaleCrop>false</ScaleCrop>
  <LinksUpToDate>false</LinksUpToDate>
  <CharactersWithSpaces>7354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2026-07-24T02:54:14Z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eyJoZGlkIjoiMWQwNDk3YWZiODU4MjZlOGY4YzY1NWU4MzAwYTY1NWEiLCJ1c2VySWQiOiI3NjQ1MzQ5NTkifQ==</vt:lpwstr>
  </property>
  <property fmtid="{D5CDD505-2E9C-101B-9397-08002B2CF9AE}" pid="4" name="ICV">
    <vt:lpwstr>845D1CFFC95747C2B9399FE6602AD881_13</vt:lpwstr>
  </property>
</Properties>
</file>