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4816EC26">
      <w:pPr>
        <w:spacing w:line="460" w:lineRule="exact"/>
        <w:jc w:val="left"/>
        <w:rPr>
          <w:rFonts w:ascii="仿宋" w:hAnsi="仿宋" w:eastAsia="仿宋"/>
          <w:sz w:val="28"/>
          <w:szCs w:val="28"/>
        </w:rPr>
      </w:pPr>
      <w:r>
        <w:rPr>
          <w:rFonts w:hint="eastAsia" w:ascii="仿宋" w:hAnsi="仿宋" w:eastAsia="仿宋"/>
          <w:sz w:val="28"/>
          <w:szCs w:val="28"/>
        </w:rPr>
        <w:t>各相关单位：</w:t>
      </w:r>
    </w:p>
    <w:p w14:paraId="4CA4D518">
      <w:pPr>
        <w:spacing w:line="460" w:lineRule="exact"/>
        <w:ind w:firstLine="560" w:firstLineChars="200"/>
        <w:rPr>
          <w:rFonts w:ascii="仿宋" w:hAnsi="仿宋" w:eastAsia="仿宋"/>
          <w:b/>
          <w:sz w:val="28"/>
          <w:szCs w:val="28"/>
        </w:rPr>
      </w:pPr>
      <w:r>
        <w:rPr>
          <w:rFonts w:hint="eastAsia" w:ascii="仿宋" w:hAnsi="仿宋" w:eastAsia="仿宋"/>
          <w:sz w:val="28"/>
          <w:szCs w:val="28"/>
        </w:rPr>
        <w:t>万基控股集团有限公司招标办拟对洛阳万基宏远电力有限公司</w:t>
      </w:r>
      <w:r>
        <w:rPr>
          <w:rFonts w:hint="eastAsia" w:ascii="仿宋" w:hAnsi="仿宋" w:eastAsia="仿宋"/>
          <w:sz w:val="28"/>
          <w:szCs w:val="28"/>
          <w:lang w:val="en-US" w:eastAsia="zh-CN"/>
        </w:rPr>
        <w:t>#1、</w:t>
      </w:r>
      <w:r>
        <w:rPr>
          <w:rFonts w:hint="eastAsia" w:ascii="仿宋" w:hAnsi="仿宋" w:eastAsia="仿宋" w:cs="Times New Roman"/>
          <w:sz w:val="28"/>
          <w:szCs w:val="28"/>
        </w:rPr>
        <w:t>#2机组锅炉空预器</w:t>
      </w:r>
      <w:r>
        <w:rPr>
          <w:rFonts w:hint="eastAsia" w:ascii="仿宋" w:hAnsi="仿宋" w:eastAsia="仿宋" w:cs="Times New Roman"/>
          <w:sz w:val="28"/>
          <w:szCs w:val="28"/>
          <w:lang w:val="en-US" w:eastAsia="zh-CN"/>
        </w:rPr>
        <w:t>高压水冲洗</w:t>
      </w:r>
      <w:r>
        <w:rPr>
          <w:rFonts w:hint="eastAsia" w:ascii="仿宋" w:hAnsi="仿宋" w:eastAsia="仿宋" w:cs="Times New Roman"/>
          <w:sz w:val="28"/>
          <w:szCs w:val="28"/>
        </w:rPr>
        <w:t>项目进</w:t>
      </w:r>
      <w:r>
        <w:rPr>
          <w:rFonts w:hint="eastAsia" w:ascii="仿宋" w:hAnsi="仿宋" w:eastAsia="仿宋"/>
          <w:sz w:val="28"/>
          <w:szCs w:val="28"/>
        </w:rPr>
        <w:t>行招标【招标编号：WJWZ-(2026)07013】，有意参标单位请在202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16</w:t>
      </w:r>
      <w:r>
        <w:rPr>
          <w:rFonts w:hint="eastAsia" w:ascii="仿宋" w:hAnsi="仿宋" w:eastAsia="仿宋"/>
          <w:sz w:val="28"/>
          <w:szCs w:val="28"/>
        </w:rPr>
        <w:t>日</w:t>
      </w:r>
      <w:r>
        <w:rPr>
          <w:rFonts w:ascii="仿宋" w:hAnsi="仿宋" w:eastAsia="仿宋"/>
          <w:sz w:val="28"/>
          <w:szCs w:val="28"/>
        </w:rPr>
        <w:t>17</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不接受未通过资质预审、未按时缴纳投标保证金单位的投标文件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w:t>
      </w:r>
      <w:r>
        <w:rPr>
          <w:rFonts w:ascii="仿宋" w:hAnsi="仿宋" w:eastAsia="仿宋"/>
          <w:b/>
          <w:color w:val="FF0000"/>
          <w:sz w:val="28"/>
          <w:szCs w:val="28"/>
        </w:rPr>
        <w:t>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ascii="仿宋" w:hAnsi="仿宋" w:eastAsia="仿宋"/>
          <w:b/>
          <w:color w:val="FF0000"/>
          <w:sz w:val="28"/>
          <w:szCs w:val="28"/>
        </w:rPr>
        <w:t>月</w:t>
      </w:r>
      <w:r>
        <w:rPr>
          <w:rFonts w:hint="eastAsia" w:ascii="仿宋" w:hAnsi="仿宋" w:eastAsia="仿宋"/>
          <w:b/>
          <w:color w:val="FF0000"/>
          <w:sz w:val="28"/>
          <w:szCs w:val="28"/>
          <w:lang w:val="en-US" w:eastAsia="zh-CN"/>
        </w:rPr>
        <w:t>17</w:t>
      </w:r>
      <w:r>
        <w:rPr>
          <w:rFonts w:ascii="仿宋" w:hAnsi="仿宋" w:eastAsia="仿宋"/>
          <w:b/>
          <w:color w:val="FF0000"/>
          <w:sz w:val="28"/>
          <w:szCs w:val="28"/>
        </w:rPr>
        <w:t>日</w:t>
      </w:r>
      <w:r>
        <w:rPr>
          <w:rFonts w:hint="eastAsia" w:ascii="仿宋" w:hAnsi="仿宋" w:eastAsia="仿宋"/>
          <w:b/>
          <w:color w:val="FF0000"/>
          <w:sz w:val="28"/>
          <w:szCs w:val="28"/>
          <w:lang w:val="en-US" w:eastAsia="zh-CN"/>
        </w:rPr>
        <w:t>上</w:t>
      </w:r>
      <w:r>
        <w:rPr>
          <w:rFonts w:hint="eastAsia" w:ascii="仿宋" w:hAnsi="仿宋" w:eastAsia="仿宋"/>
          <w:b/>
          <w:color w:val="FF0000"/>
          <w:sz w:val="28"/>
          <w:szCs w:val="28"/>
        </w:rPr>
        <w:t>午1</w:t>
      </w:r>
      <w:r>
        <w:rPr>
          <w:rFonts w:hint="eastAsia" w:ascii="仿宋" w:hAnsi="仿宋" w:eastAsia="仿宋"/>
          <w:b/>
          <w:color w:val="FF0000"/>
          <w:sz w:val="28"/>
          <w:szCs w:val="28"/>
          <w:lang w:val="en-US" w:eastAsia="zh-CN"/>
        </w:rPr>
        <w:t>0:00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w:t>
      </w:r>
      <w:r>
        <w:rPr>
          <w:rFonts w:ascii="仿宋" w:hAnsi="仿宋" w:eastAsia="仿宋" w:cs="仿宋_GB2312"/>
          <w:b/>
          <w:color w:val="FF0000"/>
          <w:sz w:val="28"/>
          <w:szCs w:val="28"/>
        </w:rPr>
        <w:t>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8</w:t>
      </w:r>
      <w:r>
        <w:rPr>
          <w:rFonts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16</w:t>
      </w:r>
      <w:r>
        <w:rPr>
          <w:rFonts w:ascii="仿宋" w:hAnsi="仿宋" w:eastAsia="仿宋" w:cs="仿宋_GB2312"/>
          <w:b/>
          <w:color w:val="FF0000"/>
          <w:sz w:val="28"/>
          <w:szCs w:val="28"/>
        </w:rPr>
        <w:t>日</w:t>
      </w:r>
      <w:r>
        <w:rPr>
          <w:rFonts w:hint="eastAsia" w:ascii="仿宋" w:hAnsi="仿宋" w:eastAsia="仿宋" w:cs="仿宋_GB2312"/>
          <w:b/>
          <w:color w:val="FF0000"/>
          <w:sz w:val="28"/>
          <w:szCs w:val="28"/>
        </w:rPr>
        <w:t>下午1</w:t>
      </w:r>
      <w:r>
        <w:rPr>
          <w:rFonts w:ascii="仿宋" w:hAnsi="仿宋" w:eastAsia="仿宋" w:cs="仿宋_GB2312"/>
          <w:b/>
          <w:color w:val="FF0000"/>
          <w:sz w:val="28"/>
          <w:szCs w:val="28"/>
        </w:rPr>
        <w:t>7</w:t>
      </w:r>
      <w:r>
        <w:rPr>
          <w:rFonts w:hint="eastAsia" w:ascii="仿宋" w:hAnsi="仿宋" w:eastAsia="仿宋" w:cs="仿宋_GB2312"/>
          <w:b/>
          <w:color w:val="FF0000"/>
          <w:sz w:val="28"/>
          <w:szCs w:val="28"/>
        </w:rPr>
        <w:t>:00时</w:t>
      </w:r>
    </w:p>
    <w:p w14:paraId="1BF68E7B">
      <w:pPr>
        <w:spacing w:line="460" w:lineRule="exact"/>
        <w:ind w:firstLine="560" w:firstLineChars="200"/>
        <w:rPr>
          <w:rFonts w:ascii="仿宋" w:hAnsi="仿宋" w:eastAsia="仿宋"/>
          <w:sz w:val="28"/>
          <w:szCs w:val="28"/>
        </w:rPr>
      </w:pPr>
      <w:r>
        <w:rPr>
          <w:rFonts w:hint="eastAsia" w:ascii="仿宋" w:hAnsi="仿宋" w:eastAsia="仿宋"/>
          <w:sz w:val="28"/>
          <w:szCs w:val="28"/>
        </w:rPr>
        <w:t>招标：</w:t>
      </w:r>
      <w:r>
        <w:rPr>
          <w:rFonts w:hint="eastAsia" w:ascii="仿宋" w:hAnsi="仿宋" w:eastAsia="仿宋"/>
          <w:sz w:val="28"/>
          <w:szCs w:val="28"/>
          <w:lang w:val="en-US" w:eastAsia="zh-CN"/>
        </w:rPr>
        <w:t>郭帅</w:t>
      </w:r>
      <w:r>
        <w:rPr>
          <w:rFonts w:hint="eastAsia" w:ascii="仿宋" w:hAnsi="仿宋" w:eastAsia="仿宋"/>
          <w:sz w:val="28"/>
          <w:szCs w:val="28"/>
        </w:rPr>
        <w:t xml:space="preserve"> </w:t>
      </w:r>
      <w:r>
        <w:rPr>
          <w:rFonts w:hint="eastAsia" w:ascii="仿宋" w:hAnsi="仿宋" w:eastAsia="仿宋"/>
          <w:sz w:val="28"/>
          <w:szCs w:val="28"/>
          <w:lang w:val="en-US" w:eastAsia="zh-CN"/>
        </w:rPr>
        <w:t>158 0379 9052</w:t>
      </w:r>
      <w:r>
        <w:rPr>
          <w:rFonts w:ascii="仿宋" w:hAnsi="仿宋" w:eastAsia="仿宋"/>
          <w:sz w:val="28"/>
          <w:szCs w:val="28"/>
        </w:rPr>
        <w:t xml:space="preserve"> </w:t>
      </w:r>
      <w:r>
        <w:rPr>
          <w:rFonts w:hint="eastAsia" w:ascii="仿宋" w:hAnsi="仿宋" w:eastAsia="仿宋"/>
          <w:sz w:val="28"/>
          <w:szCs w:val="28"/>
        </w:rPr>
        <w:t>技术：常世昌151 3793 8620</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7591EBAE">
      <w:pPr>
        <w:spacing w:line="460" w:lineRule="exact"/>
        <w:ind w:firstLine="560" w:firstLineChars="200"/>
        <w:rPr>
          <w:rFonts w:ascii="仿宋" w:hAnsi="仿宋" w:eastAsia="仿宋"/>
          <w:sz w:val="28"/>
          <w:szCs w:val="28"/>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的方式开标。参与投标，视同完全响应招标文件。</w:t>
      </w:r>
      <w:r>
        <w:rPr>
          <w:rFonts w:hint="eastAsia" w:ascii="仿宋" w:hAnsi="仿宋" w:eastAsia="仿宋" w:cs="仿宋_GB2312"/>
          <w:b/>
          <w:bCs/>
          <w:color w:val="FF0000"/>
          <w:spacing w:val="-20"/>
          <w:sz w:val="28"/>
          <w:szCs w:val="28"/>
        </w:rPr>
        <w:t>本次参与投标的单位须在万基招采平台上注册成合格准入供应商，注册成功后方可参与投标。</w:t>
      </w:r>
      <w:r>
        <w:rPr>
          <w:rFonts w:hint="eastAsia" w:ascii="仿宋" w:hAnsi="仿宋" w:eastAsia="仿宋" w:cs="仿宋_GB2312"/>
          <w:spacing w:val="-20"/>
          <w:sz w:val="28"/>
          <w:szCs w:val="28"/>
        </w:rPr>
        <w:t>供应商准入审核联系人:</w:t>
      </w:r>
      <w:r>
        <w:rPr>
          <w:rFonts w:hint="eastAsia" w:ascii="仿宋" w:hAnsi="仿宋" w:eastAsia="仿宋" w:cs="仿宋_GB2312"/>
          <w:spacing w:val="-20"/>
          <w:sz w:val="28"/>
          <w:szCs w:val="28"/>
          <w:lang w:val="en-US" w:eastAsia="zh-CN"/>
        </w:rPr>
        <w:t>吕国华</w:t>
      </w:r>
      <w:r>
        <w:rPr>
          <w:rFonts w:hint="eastAsia" w:ascii="仿宋" w:hAnsi="仿宋" w:eastAsia="仿宋" w:cs="仿宋_GB2312"/>
          <w:spacing w:val="-20"/>
          <w:sz w:val="28"/>
          <w:szCs w:val="28"/>
        </w:rPr>
        <w:t>，联系电话:0379-67333</w:t>
      </w:r>
      <w:r>
        <w:rPr>
          <w:rFonts w:hint="eastAsia" w:ascii="仿宋" w:hAnsi="仿宋" w:eastAsia="仿宋" w:cs="仿宋_GB2312"/>
          <w:spacing w:val="-20"/>
          <w:sz w:val="28"/>
          <w:szCs w:val="28"/>
          <w:lang w:val="en-US" w:eastAsia="zh-CN"/>
        </w:rPr>
        <w:t>516</w:t>
      </w:r>
      <w:r>
        <w:rPr>
          <w:rFonts w:hint="eastAsia" w:ascii="仿宋" w:hAnsi="仿宋" w:eastAsia="仿宋" w:cs="仿宋_GB2312"/>
          <w:spacing w:val="-20"/>
          <w:sz w:val="28"/>
          <w:szCs w:val="28"/>
        </w:rPr>
        <w:t>。</w:t>
      </w:r>
      <w:r>
        <w:rPr>
          <w:rFonts w:hint="eastAsia" w:ascii="仿宋" w:hAnsi="仿宋" w:eastAsia="仿宋" w:cs="仿宋_GB2312"/>
          <w:spacing w:val="-20"/>
          <w:sz w:val="28"/>
          <w:szCs w:val="28"/>
          <w:lang w:val="en-US" w:eastAsia="zh-CN"/>
        </w:rPr>
        <w:t xml:space="preserve"> </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，便于唱标；详细分项报价做入标书商务卷。</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6CFB8A35">
      <w:pPr>
        <w:spacing w:line="460" w:lineRule="exact"/>
        <w:ind w:firstLine="560" w:firstLineChars="200"/>
        <w:rPr>
          <w:rFonts w:ascii="仿宋" w:hAnsi="仿宋" w:eastAsia="仿宋" w:cs="仿宋"/>
          <w:bCs/>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w:t>
      </w:r>
      <w:r>
        <w:rPr>
          <w:rFonts w:hint="eastAsia" w:ascii="仿宋" w:hAnsi="仿宋" w:eastAsia="仿宋" w:cs="仿宋"/>
          <w:bCs/>
          <w:sz w:val="28"/>
          <w:szCs w:val="28"/>
        </w:rPr>
        <w:t>投标人必须是在中华人民共和国境内注册、具有独立法人资格，具有标的物经营资质；</w:t>
      </w:r>
      <w:r>
        <w:rPr>
          <w:rFonts w:hint="eastAsia" w:ascii="仿宋" w:hAnsi="仿宋" w:eastAsia="仿宋" w:cs="仿宋"/>
          <w:b/>
          <w:color w:val="FF0000"/>
          <w:sz w:val="28"/>
          <w:szCs w:val="28"/>
        </w:rPr>
        <w:t>不接受联合体投标</w:t>
      </w:r>
      <w:r>
        <w:rPr>
          <w:rFonts w:hint="eastAsia" w:ascii="仿宋" w:hAnsi="仿宋" w:eastAsia="仿宋" w:cs="仿宋"/>
          <w:bCs/>
          <w:sz w:val="28"/>
          <w:szCs w:val="28"/>
        </w:rPr>
        <w:t>，</w:t>
      </w:r>
      <w:r>
        <w:rPr>
          <w:rFonts w:hint="eastAsia" w:ascii="仿宋" w:hAnsi="仿宋" w:eastAsia="仿宋" w:cs="仿宋"/>
          <w:b/>
          <w:color w:val="FF0000"/>
          <w:sz w:val="28"/>
          <w:szCs w:val="28"/>
        </w:rPr>
        <w:t>不允许分包；</w:t>
      </w:r>
      <w:r>
        <w:rPr>
          <w:rFonts w:hint="eastAsia" w:ascii="仿宋" w:hAnsi="仿宋" w:eastAsia="仿宋" w:cs="仿宋"/>
          <w:bCs/>
          <w:sz w:val="28"/>
          <w:szCs w:val="28"/>
        </w:rPr>
        <w:t>母公司、全资子公司及其控股公司不得同时投标；法定代表人或者负责人为同一人或者存在控股、管理关系的两个以上投标人，不得参加同一项目的投标；</w:t>
      </w:r>
      <w:r>
        <w:rPr>
          <w:rFonts w:ascii="仿宋" w:hAnsi="仿宋" w:eastAsia="仿宋" w:cs="仿宋"/>
          <w:bCs/>
          <w:sz w:val="28"/>
          <w:szCs w:val="28"/>
        </w:rPr>
        <w:t xml:space="preserve"> </w:t>
      </w:r>
    </w:p>
    <w:p w14:paraId="6C05B8FA">
      <w:pPr>
        <w:spacing w:line="460" w:lineRule="exact"/>
        <w:ind w:firstLine="560" w:firstLineChars="200"/>
        <w:rPr>
          <w:rFonts w:ascii="仿宋" w:hAnsi="仿宋" w:eastAsia="仿宋" w:cs="仿宋"/>
          <w:bCs/>
          <w:sz w:val="28"/>
          <w:szCs w:val="28"/>
        </w:rPr>
      </w:pPr>
      <w:r>
        <w:rPr>
          <w:rFonts w:ascii="仿宋" w:hAnsi="仿宋" w:eastAsia="仿宋" w:cs="仿宋"/>
          <w:color w:val="000000"/>
          <w:sz w:val="28"/>
          <w:szCs w:val="28"/>
        </w:rPr>
        <w:t>2</w:t>
      </w:r>
      <w:r>
        <w:rPr>
          <w:rFonts w:hint="eastAsia" w:ascii="仿宋" w:hAnsi="仿宋" w:eastAsia="仿宋" w:cs="仿宋"/>
          <w:color w:val="000000"/>
          <w:sz w:val="28"/>
          <w:szCs w:val="28"/>
        </w:rPr>
        <w:t>）投</w:t>
      </w:r>
      <w:r>
        <w:rPr>
          <w:rFonts w:hint="eastAsia" w:ascii="仿宋" w:hAnsi="仿宋" w:eastAsia="仿宋" w:cs="仿宋"/>
          <w:bCs/>
          <w:sz w:val="28"/>
          <w:szCs w:val="28"/>
        </w:rPr>
        <w:t>标单位必须具</w:t>
      </w:r>
      <w:r>
        <w:rPr>
          <w:rFonts w:hint="eastAsia" w:ascii="仿宋" w:hAnsi="仿宋" w:eastAsia="仿宋" w:cs="仿宋"/>
          <w:color w:val="000000"/>
          <w:sz w:val="28"/>
          <w:szCs w:val="28"/>
          <w:lang w:val="en-US" w:eastAsia="zh-CN"/>
        </w:rPr>
        <w:t>有工业设备清洗相关资质</w:t>
      </w:r>
      <w:r>
        <w:rPr>
          <w:rFonts w:hint="eastAsia" w:ascii="仿宋" w:hAnsi="仿宋" w:eastAsia="仿宋" w:cs="仿宋"/>
          <w:color w:val="000000"/>
          <w:sz w:val="28"/>
          <w:szCs w:val="28"/>
        </w:rPr>
        <w:t>；投标单位具有有效的安</w:t>
      </w:r>
      <w:r>
        <w:rPr>
          <w:rFonts w:hint="eastAsia" w:ascii="仿宋" w:hAnsi="仿宋" w:eastAsia="仿宋" w:cs="仿宋"/>
          <w:bCs/>
          <w:sz w:val="28"/>
          <w:szCs w:val="28"/>
        </w:rPr>
        <w:t>全生产许可证；投标方须提供拟派项目经理的二级注册建造师及以上执业资格和有效的安全生产考核合格证书（B 本）；</w:t>
      </w:r>
    </w:p>
    <w:p w14:paraId="08F214F6">
      <w:pPr>
        <w:widowControl/>
        <w:spacing w:line="500" w:lineRule="exact"/>
        <w:ind w:firstLine="560" w:firstLineChars="200"/>
        <w:rPr>
          <w:rFonts w:ascii="仿宋" w:hAnsi="仿宋" w:eastAsia="仿宋" w:cs="仿宋"/>
          <w:bCs/>
          <w:sz w:val="28"/>
          <w:szCs w:val="28"/>
        </w:rPr>
      </w:pPr>
      <w:r>
        <w:rPr>
          <w:rFonts w:ascii="仿宋" w:hAnsi="仿宋" w:eastAsia="仿宋" w:cs="仿宋"/>
          <w:bCs/>
          <w:sz w:val="28"/>
          <w:szCs w:val="28"/>
        </w:rPr>
        <w:t>3</w:t>
      </w:r>
      <w:r>
        <w:rPr>
          <w:rFonts w:hint="eastAsia" w:ascii="仿宋" w:hAnsi="仿宋" w:eastAsia="仿宋" w:cs="仿宋"/>
          <w:bCs/>
          <w:sz w:val="28"/>
          <w:szCs w:val="28"/>
        </w:rPr>
        <w:t>）投标方在专业技术、设备设施、人员组织、业绩经验等方面具有设计、制造、安装、质量控制、经营管理等相应的资格和能力；</w:t>
      </w:r>
      <w:r>
        <w:rPr>
          <w:rFonts w:ascii="仿宋" w:hAnsi="仿宋" w:eastAsia="仿宋" w:cs="仿宋"/>
          <w:bCs/>
          <w:sz w:val="28"/>
          <w:szCs w:val="28"/>
        </w:rPr>
        <w:t>有良好的银行资信和商业信誉，没有处于被责令停业，财产被接管、冻结，破产状态；</w:t>
      </w:r>
      <w:r>
        <w:rPr>
          <w:rFonts w:hint="eastAsia" w:ascii="仿宋" w:hAnsi="仿宋" w:eastAsia="仿宋" w:cs="仿宋"/>
          <w:bCs/>
          <w:sz w:val="28"/>
          <w:szCs w:val="28"/>
        </w:rPr>
        <w:t>投标人在人员、技术、设备、资金方面具有完成本项目合同的能力。如果国家有强制性要求的资质文件，参标单位必须提供。</w:t>
      </w:r>
    </w:p>
    <w:p w14:paraId="59432B7B">
      <w:pPr>
        <w:widowControl/>
        <w:spacing w:line="500" w:lineRule="exact"/>
        <w:ind w:firstLine="551" w:firstLineChars="197"/>
        <w:rPr>
          <w:rFonts w:hint="eastAsia" w:ascii="仿宋" w:hAnsi="仿宋" w:eastAsia="仿宋" w:cs="仿宋"/>
          <w:bCs/>
          <w:sz w:val="28"/>
          <w:szCs w:val="28"/>
        </w:rPr>
      </w:pPr>
      <w:r>
        <w:rPr>
          <w:rFonts w:ascii="仿宋" w:hAnsi="仿宋" w:eastAsia="仿宋" w:cs="仿宋"/>
          <w:bCs/>
          <w:sz w:val="28"/>
          <w:szCs w:val="28"/>
        </w:rPr>
        <w:t>4</w:t>
      </w:r>
      <w:r>
        <w:rPr>
          <w:rFonts w:hint="eastAsia" w:ascii="仿宋" w:hAnsi="仿宋" w:eastAsia="仿宋" w:cs="仿宋"/>
          <w:bCs/>
          <w:sz w:val="28"/>
          <w:szCs w:val="28"/>
        </w:rPr>
        <w:t>）投标方具有完善的质量、环境、职业健康安全保证体系，须具有ISO9001质量、ISO14001环境、ISO45001职业健康安全（或OHSAS18001职业健康安全）管理体系的认证证书（须在有效期内）。</w:t>
      </w:r>
    </w:p>
    <w:p w14:paraId="4A1ACD0D">
      <w:pPr>
        <w:widowControl/>
        <w:spacing w:line="500" w:lineRule="exact"/>
        <w:ind w:firstLine="560" w:firstLineChars="200"/>
        <w:rPr>
          <w:rFonts w:ascii="仿宋" w:hAnsi="仿宋" w:eastAsia="仿宋"/>
          <w:szCs w:val="28"/>
        </w:rPr>
      </w:pPr>
      <w:r>
        <w:rPr>
          <w:rFonts w:ascii="仿宋" w:hAnsi="仿宋" w:eastAsia="仿宋"/>
          <w:sz w:val="28"/>
          <w:szCs w:val="28"/>
        </w:rPr>
        <w:t>5</w:t>
      </w:r>
      <w:r>
        <w:rPr>
          <w:rFonts w:hint="eastAsia" w:ascii="仿宋" w:hAnsi="仿宋" w:eastAsia="仿宋"/>
          <w:sz w:val="28"/>
          <w:szCs w:val="28"/>
        </w:rPr>
        <w:t>）</w:t>
      </w:r>
      <w:r>
        <w:rPr>
          <w:rFonts w:hint="eastAsia" w:ascii="仿宋" w:hAnsi="仿宋" w:eastAsia="仿宋" w:cs="仿宋"/>
          <w:bCs/>
          <w:sz w:val="28"/>
          <w:szCs w:val="28"/>
        </w:rPr>
        <w:t>投标方须提供近4年内不低于3个已施工结束的600MW及以上的燃煤火电机组空预器清洗施工业绩（合同已签未施工的不属于业绩范围），要求列出电厂名称、机组类型，机组容量、清洗方式、施工时间及联系人（附业绩合同，需明确体现台数)业绩；投标方须提供符合业绩要求的合同关键页复印件、用户证明材料，关键页至少包括合同封面、签字盖章页、以及反映签订时间、供货范围等信息的相关页。不提供或提供合同复印件不符合要求的，视同无效业绩。</w:t>
      </w:r>
    </w:p>
    <w:p w14:paraId="1FC523F9">
      <w:pPr>
        <w:spacing w:line="460" w:lineRule="exact"/>
        <w:ind w:firstLine="560" w:firstLineChars="200"/>
        <w:rPr>
          <w:rFonts w:ascii="仿宋" w:hAnsi="仿宋" w:eastAsia="仿宋" w:cs="仿宋"/>
          <w:bCs/>
          <w:sz w:val="28"/>
          <w:szCs w:val="28"/>
        </w:rPr>
      </w:pPr>
      <w:r>
        <w:rPr>
          <w:rFonts w:ascii="仿宋" w:hAnsi="仿宋" w:eastAsia="仿宋" w:cs="仿宋"/>
          <w:bCs/>
          <w:sz w:val="28"/>
          <w:szCs w:val="28"/>
        </w:rPr>
        <w:t>6</w:t>
      </w:r>
      <w:r>
        <w:rPr>
          <w:rFonts w:hint="eastAsia" w:ascii="仿宋" w:hAnsi="仿宋" w:eastAsia="仿宋" w:cs="仿宋"/>
          <w:bCs/>
          <w:sz w:val="28"/>
          <w:szCs w:val="28"/>
        </w:rPr>
        <w:t>）承担的项目中无重大质量问题、无严重违约记录，且未被政府、采购人及上级单位等列入安全生产领域失信生产经营单位名单或其他黑名单；</w:t>
      </w:r>
    </w:p>
    <w:p w14:paraId="01394198">
      <w:pPr>
        <w:spacing w:line="460" w:lineRule="exact"/>
        <w:ind w:firstLine="560" w:firstLineChars="200"/>
        <w:rPr>
          <w:rFonts w:ascii="仿宋" w:hAnsi="仿宋" w:eastAsia="仿宋"/>
          <w:color w:val="000000"/>
          <w:sz w:val="28"/>
          <w:szCs w:val="28"/>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p>
    <w:p w14:paraId="0C961DD8">
      <w:pPr>
        <w:spacing w:line="4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）资格预审：未在招标办备案的投标人，需提供企业营业执照（年审过的有效件且必须有标的物经营</w:t>
      </w:r>
      <w:r>
        <w:rPr>
          <w:rFonts w:hint="eastAsia" w:ascii="仿宋" w:hAnsi="仿宋" w:eastAsia="仿宋"/>
          <w:sz w:val="28"/>
          <w:szCs w:val="28"/>
        </w:rPr>
        <w:t>范围）</w:t>
      </w:r>
      <w:r>
        <w:rPr>
          <w:rFonts w:hint="eastAsia" w:ascii="仿宋" w:hAnsi="仿宋" w:eastAsia="仿宋" w:cs="仿宋"/>
          <w:sz w:val="28"/>
          <w:szCs w:val="28"/>
        </w:rPr>
        <w:t>、相关资质许可、相关授权资料等、法人授权书、法人及投标人身份证、业绩合同等加盖公章复印件扫描件，打包发送至</w:t>
      </w:r>
      <w:r>
        <w:rPr>
          <w:rFonts w:hint="eastAsia" w:ascii="仿宋" w:hAnsi="仿宋" w:eastAsia="仿宋" w:cs="仿宋"/>
          <w:sz w:val="28"/>
          <w:szCs w:val="28"/>
          <w:lang w:val="en-US" w:eastAsia="zh-CN"/>
        </w:rPr>
        <w:t>277838558</w:t>
      </w:r>
      <w:r>
        <w:rPr>
          <w:rFonts w:ascii="仿宋" w:hAnsi="仿宋" w:eastAsia="仿宋" w:cs="仿宋"/>
          <w:sz w:val="28"/>
          <w:szCs w:val="28"/>
        </w:rPr>
        <w:t>@</w:t>
      </w:r>
      <w:r>
        <w:rPr>
          <w:rFonts w:hint="eastAsia" w:ascii="仿宋" w:hAnsi="仿宋" w:eastAsia="仿宋" w:cs="仿宋"/>
          <w:sz w:val="28"/>
          <w:szCs w:val="28"/>
        </w:rPr>
        <w:t>qq</w:t>
      </w:r>
      <w:r>
        <w:rPr>
          <w:rFonts w:ascii="仿宋" w:hAnsi="仿宋" w:eastAsia="仿宋" w:cs="仿宋"/>
          <w:sz w:val="28"/>
          <w:szCs w:val="28"/>
        </w:rPr>
        <w:t>.com</w:t>
      </w:r>
      <w:r>
        <w:rPr>
          <w:rFonts w:hint="eastAsia" w:ascii="仿宋" w:hAnsi="仿宋" w:eastAsia="仿宋" w:cs="仿宋"/>
          <w:sz w:val="28"/>
          <w:szCs w:val="28"/>
        </w:rPr>
        <w:t>作资质预审；资质预审截止时间： 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ascii="仿宋" w:hAnsi="仿宋" w:eastAsia="仿宋" w:cs="仿宋"/>
          <w:sz w:val="28"/>
          <w:szCs w:val="28"/>
        </w:rPr>
        <w:t>月</w:t>
      </w:r>
      <w:r>
        <w:rPr>
          <w:rFonts w:hint="eastAsia" w:ascii="仿宋" w:hAnsi="仿宋" w:eastAsia="仿宋" w:cs="仿宋"/>
          <w:sz w:val="28"/>
          <w:szCs w:val="28"/>
          <w:lang w:val="en-US" w:eastAsia="zh-CN"/>
        </w:rPr>
        <w:t>16</w:t>
      </w:r>
      <w:r>
        <w:rPr>
          <w:rFonts w:ascii="仿宋" w:hAnsi="仿宋" w:eastAsia="仿宋" w:cs="仿宋"/>
          <w:sz w:val="28"/>
          <w:szCs w:val="28"/>
        </w:rPr>
        <w:t>日</w:t>
      </w:r>
      <w:r>
        <w:rPr>
          <w:rFonts w:hint="eastAsia" w:ascii="仿宋" w:hAnsi="仿宋" w:eastAsia="仿宋" w:cs="仿宋"/>
          <w:sz w:val="28"/>
          <w:szCs w:val="28"/>
        </w:rPr>
        <w:t>下午</w:t>
      </w:r>
      <w:r>
        <w:rPr>
          <w:rFonts w:ascii="仿宋" w:hAnsi="仿宋" w:eastAsia="仿宋" w:cs="仿宋"/>
          <w:sz w:val="28"/>
          <w:szCs w:val="28"/>
        </w:rPr>
        <w:t>17</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）资格后审，即在评标过程中评标小组成员共同进行审查；</w:t>
      </w:r>
    </w:p>
    <w:p w14:paraId="0187882C">
      <w:pPr>
        <w:spacing w:before="62" w:beforeLines="20" w:after="62" w:afterLines="20" w:line="460" w:lineRule="exact"/>
        <w:ind w:firstLine="560" w:firstLineChars="200"/>
        <w:rPr>
          <w:rFonts w:ascii="仿宋" w:hAnsi="仿宋" w:eastAsia="仿宋"/>
          <w:sz w:val="28"/>
          <w:szCs w:val="28"/>
        </w:rPr>
      </w:pPr>
      <w:r>
        <w:rPr>
          <w:rFonts w:ascii="仿宋" w:hAnsi="仿宋" w:eastAsia="仿宋" w:cs="仿宋"/>
          <w:sz w:val="28"/>
          <w:szCs w:val="28"/>
        </w:rPr>
        <w:t>4</w:t>
      </w:r>
      <w:r>
        <w:rPr>
          <w:rFonts w:hint="eastAsia" w:ascii="仿宋" w:hAnsi="仿宋" w:eastAsia="仿宋" w:cs="仿宋"/>
          <w:sz w:val="28"/>
          <w:szCs w:val="28"/>
        </w:rPr>
        <w:t>、投标保证金：各投标人在开标前须向业主单位财务缴纳投标保证金人民币</w:t>
      </w:r>
      <w:r>
        <w:rPr>
          <w:rFonts w:hint="eastAsia" w:ascii="仿宋" w:hAnsi="仿宋" w:eastAsia="仿宋" w:cs="仿宋"/>
          <w:sz w:val="28"/>
          <w:szCs w:val="28"/>
          <w:lang w:val="en-US" w:eastAsia="zh-CN"/>
        </w:rPr>
        <w:t>壹万元整</w:t>
      </w:r>
      <w:r>
        <w:rPr>
          <w:rFonts w:hint="eastAsia" w:ascii="仿宋" w:hAnsi="仿宋" w:eastAsia="仿宋" w:cs="仿宋"/>
          <w:sz w:val="28"/>
          <w:szCs w:val="28"/>
        </w:rPr>
        <w:t>（￥</w:t>
      </w:r>
      <w:r>
        <w:rPr>
          <w:rFonts w:hint="eastAsia" w:ascii="仿宋" w:hAnsi="仿宋" w:eastAsia="仿宋" w:cs="仿宋"/>
          <w:sz w:val="28"/>
          <w:szCs w:val="28"/>
          <w:lang w:val="en-US" w:eastAsia="zh-CN"/>
        </w:rPr>
        <w:t>10</w:t>
      </w:r>
      <w:r>
        <w:rPr>
          <w:rFonts w:hint="eastAsia" w:ascii="仿宋" w:hAnsi="仿宋" w:eastAsia="仿宋" w:cs="仿宋"/>
          <w:sz w:val="28"/>
          <w:szCs w:val="28"/>
        </w:rPr>
        <w:t>00</w:t>
      </w:r>
      <w:r>
        <w:rPr>
          <w:rFonts w:ascii="仿宋" w:hAnsi="仿宋" w:eastAsia="仿宋" w:cs="仿宋"/>
          <w:sz w:val="28"/>
          <w:szCs w:val="28"/>
        </w:rPr>
        <w:t>0</w:t>
      </w:r>
      <w:r>
        <w:rPr>
          <w:rFonts w:hint="eastAsia" w:ascii="仿宋" w:hAnsi="仿宋" w:eastAsia="仿宋" w:cs="仿宋"/>
          <w:sz w:val="28"/>
          <w:szCs w:val="28"/>
        </w:rPr>
        <w:t>元）整，（详细要求见招标文件第七部分）；</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、施工范围：详见技术要求（附件7）；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9、为保证项目的进度要求，招标人保留拆包授予合同的权力。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ascii="仿宋" w:hAnsi="仿宋" w:eastAsia="仿宋"/>
          <w:sz w:val="28"/>
          <w:szCs w:val="28"/>
        </w:rPr>
      </w:pPr>
      <w:r>
        <w:rPr>
          <w:rFonts w:hint="eastAsia" w:ascii="仿宋" w:hAnsi="仿宋" w:eastAsia="仿宋"/>
          <w:sz w:val="28"/>
          <w:szCs w:val="28"/>
        </w:rPr>
        <w:t>1 、投标文件的组成</w:t>
      </w:r>
    </w:p>
    <w:p w14:paraId="4AAD1D08">
      <w:pPr>
        <w:spacing w:line="460" w:lineRule="exact"/>
        <w:ind w:firstLine="560" w:firstLineChars="200"/>
        <w:rPr>
          <w:rFonts w:ascii="仿宋" w:hAnsi="仿宋" w:eastAsia="仿宋"/>
          <w:sz w:val="28"/>
          <w:szCs w:val="28"/>
        </w:rPr>
      </w:pPr>
      <w:r>
        <w:rPr>
          <w:rFonts w:hint="eastAsia" w:ascii="仿宋" w:hAnsi="仿宋" w:eastAsia="仿宋"/>
          <w:sz w:val="28"/>
          <w:szCs w:val="28"/>
        </w:rPr>
        <w:t>1.1. 投标文件由三卷组成：</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ascii="仿宋" w:hAnsi="仿宋" w:eastAsia="仿宋"/>
          <w:sz w:val="28"/>
          <w:szCs w:val="28"/>
        </w:rPr>
      </w:pPr>
      <w:r>
        <w:rPr>
          <w:rFonts w:hint="eastAsia" w:ascii="仿宋" w:hAnsi="仿宋" w:eastAsia="仿宋"/>
          <w:sz w:val="28"/>
          <w:szCs w:val="28"/>
        </w:rPr>
        <w:t>1）投标人廉政承诺书（详见附件</w:t>
      </w:r>
      <w:r>
        <w:rPr>
          <w:rFonts w:ascii="仿宋" w:hAnsi="仿宋" w:eastAsia="仿宋"/>
          <w:sz w:val="28"/>
          <w:szCs w:val="28"/>
        </w:rPr>
        <w:t>1</w:t>
      </w:r>
      <w:r>
        <w:rPr>
          <w:rFonts w:hint="eastAsia" w:ascii="仿宋" w:hAnsi="仿宋" w:eastAsia="仿宋"/>
          <w:sz w:val="28"/>
          <w:szCs w:val="28"/>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2）投标人承诺函（详见附件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ascii="仿宋" w:hAnsi="仿宋" w:eastAsia="仿宋"/>
          <w:sz w:val="28"/>
          <w:szCs w:val="28"/>
        </w:rPr>
      </w:pPr>
      <w:r>
        <w:rPr>
          <w:rFonts w:hint="eastAsia" w:ascii="仿宋" w:hAnsi="仿宋" w:eastAsia="仿宋"/>
          <w:sz w:val="28"/>
          <w:szCs w:val="28"/>
        </w:rPr>
        <w:t>3）投标人法定代表人授权书（法定代表人必须签字签章），详见附件</w:t>
      </w:r>
      <w:r>
        <w:rPr>
          <w:rFonts w:ascii="仿宋" w:hAnsi="仿宋" w:eastAsia="仿宋"/>
          <w:sz w:val="28"/>
          <w:szCs w:val="28"/>
        </w:rPr>
        <w:t>3</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III.安全生产许可证、有关鉴定材料、施工资质证书等资质文件；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ascii="仿宋" w:hAnsi="仿宋" w:eastAsia="仿宋"/>
          <w:sz w:val="28"/>
          <w:szCs w:val="28"/>
        </w:rPr>
      </w:pPr>
      <w:r>
        <w:rPr>
          <w:rFonts w:hint="eastAsia" w:ascii="仿宋" w:hAnsi="仿宋" w:eastAsia="仿宋"/>
          <w:sz w:val="28"/>
          <w:szCs w:val="28"/>
        </w:rPr>
        <w:t>VI. 近三年财务状况、信用评价及其它文件和资料。</w:t>
      </w:r>
    </w:p>
    <w:p w14:paraId="6EBFBF42">
      <w:pPr>
        <w:spacing w:line="460" w:lineRule="exact"/>
        <w:ind w:firstLine="560" w:firstLineChars="200"/>
        <w:rPr>
          <w:rFonts w:ascii="仿宋" w:hAnsi="仿宋" w:eastAsia="仿宋"/>
          <w:sz w:val="28"/>
          <w:szCs w:val="28"/>
        </w:rPr>
      </w:pPr>
      <w:r>
        <w:rPr>
          <w:rFonts w:hint="eastAsia" w:ascii="仿宋" w:hAnsi="仿宋" w:eastAsia="仿宋"/>
          <w:sz w:val="28"/>
          <w:szCs w:val="28"/>
        </w:rPr>
        <w:t>5）企业、产品简介</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7）商务、技术异议回复（详见附件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第二卷为技术部分（按招标方技术规范做相应说明）；</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w:t>
      </w:r>
      <w:r>
        <w:rPr>
          <w:rFonts w:ascii="仿宋" w:hAnsi="仿宋" w:eastAsia="仿宋"/>
          <w:sz w:val="28"/>
          <w:szCs w:val="28"/>
        </w:rPr>
        <w:t>9</w:t>
      </w:r>
      <w:r>
        <w:rPr>
          <w:rFonts w:hint="eastAsia" w:ascii="仿宋" w:hAnsi="仿宋" w:eastAsia="仿宋"/>
          <w:sz w:val="28"/>
          <w:szCs w:val="28"/>
        </w:rPr>
        <w:t>0天。</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w:t>
      </w:r>
      <w:r>
        <w:rPr>
          <w:rFonts w:hint="eastAsia" w:ascii="仿宋" w:hAnsi="仿宋" w:eastAsia="仿宋"/>
          <w:sz w:val="28"/>
          <w:szCs w:val="28"/>
          <w:lang w:val="en-US" w:eastAsia="zh-CN"/>
        </w:rPr>
        <w:t>本一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），对照技术规范列出各种分项价格表（列入商务卷）。</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ascii="仿宋" w:hAnsi="仿宋" w:eastAsia="仿宋"/>
          <w:b/>
          <w:color w:val="FF0000"/>
          <w:sz w:val="28"/>
          <w:szCs w:val="28"/>
        </w:rPr>
        <w:t>月</w:t>
      </w:r>
      <w:r>
        <w:rPr>
          <w:rFonts w:hint="eastAsia" w:ascii="仿宋" w:hAnsi="仿宋" w:eastAsia="仿宋"/>
          <w:b/>
          <w:color w:val="FF0000"/>
          <w:sz w:val="28"/>
          <w:szCs w:val="28"/>
          <w:lang w:val="en-US" w:eastAsia="zh-CN"/>
        </w:rPr>
        <w:t>17</w:t>
      </w:r>
      <w:r>
        <w:rPr>
          <w:rFonts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ascii="仿宋" w:hAnsi="仿宋" w:eastAsia="仿宋"/>
          <w:b/>
          <w:color w:val="FF0000"/>
          <w:sz w:val="28"/>
          <w:szCs w:val="28"/>
        </w:rPr>
        <w:t>月</w:t>
      </w:r>
      <w:r>
        <w:rPr>
          <w:rFonts w:hint="eastAsia" w:ascii="仿宋" w:hAnsi="仿宋" w:eastAsia="仿宋"/>
          <w:b/>
          <w:color w:val="FF0000"/>
          <w:sz w:val="28"/>
          <w:szCs w:val="28"/>
          <w:lang w:val="en-US" w:eastAsia="zh-CN"/>
        </w:rPr>
        <w:t>17</w:t>
      </w:r>
      <w:r>
        <w:rPr>
          <w:rFonts w:ascii="仿宋" w:hAnsi="仿宋" w:eastAsia="仿宋"/>
          <w:b/>
          <w:color w:val="FF0000"/>
          <w:sz w:val="28"/>
          <w:szCs w:val="28"/>
        </w:rPr>
        <w:t>日</w:t>
      </w:r>
      <w:r>
        <w:rPr>
          <w:rFonts w:hint="eastAsia" w:ascii="仿宋" w:hAnsi="仿宋" w:eastAsia="仿宋"/>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ascii="仿宋" w:hAnsi="仿宋" w:eastAsia="仿宋"/>
          <w:sz w:val="28"/>
          <w:szCs w:val="28"/>
        </w:rPr>
      </w:pPr>
      <w:r>
        <w:rPr>
          <w:rFonts w:hint="eastAsia" w:ascii="仿宋" w:hAnsi="仿宋" w:eastAsia="仿宋"/>
          <w:sz w:val="28"/>
          <w:szCs w:val="28"/>
        </w:rPr>
        <w:t>5.1   商务评标过程中，有下列情形之一者，应予废标：</w:t>
      </w:r>
    </w:p>
    <w:p w14:paraId="03D1D744">
      <w:pPr>
        <w:spacing w:line="460" w:lineRule="exact"/>
        <w:ind w:firstLine="560" w:firstLineChars="200"/>
        <w:rPr>
          <w:rFonts w:ascii="仿宋" w:hAnsi="仿宋" w:eastAsia="仿宋"/>
          <w:sz w:val="28"/>
          <w:szCs w:val="28"/>
        </w:rPr>
      </w:pPr>
      <w:r>
        <w:rPr>
          <w:rFonts w:hint="eastAsia" w:ascii="仿宋" w:hAnsi="仿宋" w:eastAsia="仿宋"/>
          <w:sz w:val="28"/>
          <w:szCs w:val="28"/>
        </w:rPr>
        <w:t>5.1.1  投标人及其制造商与招标人、招标机构有利害关系的。</w:t>
      </w:r>
    </w:p>
    <w:p w14:paraId="243C0806">
      <w:pPr>
        <w:spacing w:line="460" w:lineRule="exact"/>
        <w:ind w:firstLine="560" w:firstLineChars="200"/>
        <w:rPr>
          <w:rFonts w:ascii="仿宋" w:hAnsi="仿宋" w:eastAsia="仿宋"/>
          <w:sz w:val="28"/>
          <w:szCs w:val="28"/>
        </w:rPr>
      </w:pPr>
      <w:r>
        <w:rPr>
          <w:rFonts w:hint="eastAsia" w:ascii="仿宋" w:hAnsi="仿宋" w:eastAsia="仿宋"/>
          <w:sz w:val="28"/>
          <w:szCs w:val="28"/>
        </w:rPr>
        <w:t>5.1.2  投标人的投标书、资格证明未提供或不符合招标文件的要求。</w:t>
      </w:r>
    </w:p>
    <w:p w14:paraId="2E0C8A20">
      <w:pPr>
        <w:spacing w:line="460" w:lineRule="exact"/>
        <w:ind w:firstLine="560" w:firstLineChars="200"/>
        <w:rPr>
          <w:rFonts w:ascii="仿宋" w:hAnsi="仿宋" w:eastAsia="仿宋"/>
          <w:sz w:val="28"/>
          <w:szCs w:val="28"/>
        </w:rPr>
      </w:pPr>
      <w:r>
        <w:rPr>
          <w:rFonts w:hint="eastAsia" w:ascii="仿宋" w:hAnsi="仿宋" w:eastAsia="仿宋"/>
          <w:sz w:val="28"/>
          <w:szCs w:val="28"/>
        </w:rPr>
        <w:t>5.1.3  投标文件无法定代表人签字或签字人无法定代表人有效授权书的。</w:t>
      </w:r>
    </w:p>
    <w:p w14:paraId="321BAD17">
      <w:pPr>
        <w:spacing w:line="460" w:lineRule="exact"/>
        <w:ind w:firstLine="560" w:firstLineChars="200"/>
        <w:rPr>
          <w:rFonts w:ascii="仿宋" w:hAnsi="仿宋" w:eastAsia="仿宋"/>
          <w:sz w:val="28"/>
          <w:szCs w:val="28"/>
        </w:rPr>
      </w:pPr>
      <w:r>
        <w:rPr>
          <w:rFonts w:hint="eastAsia" w:ascii="仿宋" w:hAnsi="仿宋" w:eastAsia="仿宋"/>
          <w:sz w:val="28"/>
          <w:szCs w:val="28"/>
        </w:rPr>
        <w:t>5.1.4  投标人业绩不能满足招标文件的要求。</w:t>
      </w:r>
    </w:p>
    <w:p w14:paraId="6ACC1F6C">
      <w:pPr>
        <w:spacing w:line="460" w:lineRule="exact"/>
        <w:ind w:firstLine="560" w:firstLineChars="200"/>
        <w:rPr>
          <w:rFonts w:ascii="仿宋" w:hAnsi="仿宋" w:eastAsia="仿宋"/>
          <w:sz w:val="28"/>
          <w:szCs w:val="28"/>
        </w:rPr>
      </w:pPr>
      <w:r>
        <w:rPr>
          <w:rFonts w:hint="eastAsia" w:ascii="仿宋" w:hAnsi="仿宋" w:eastAsia="仿宋"/>
          <w:sz w:val="28"/>
          <w:szCs w:val="28"/>
        </w:rPr>
        <w:t>5.1.5  投标文件符合招标文件中规定废标的其他商务条款。</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B7DC5D5">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31B6CFF">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5.2.3  投标文件技术规格中的响应与事实情况不符或虚假投标的。</w:t>
      </w:r>
    </w:p>
    <w:p w14:paraId="245B357A">
      <w:pPr>
        <w:spacing w:line="460" w:lineRule="exact"/>
        <w:ind w:firstLine="560" w:firstLineChars="200"/>
        <w:rPr>
          <w:rFonts w:ascii="仿宋" w:hAnsi="仿宋" w:eastAsia="仿宋"/>
          <w:sz w:val="28"/>
          <w:szCs w:val="28"/>
        </w:rPr>
      </w:pPr>
      <w:r>
        <w:rPr>
          <w:rFonts w:hint="eastAsia" w:ascii="仿宋" w:hAnsi="仿宋" w:eastAsia="仿宋"/>
          <w:sz w:val="28"/>
          <w:szCs w:val="28"/>
        </w:rPr>
        <w:t>5.2.5投标文件的澄清</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8D7DCA2">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p>
    <w:p w14:paraId="3B1A5A81">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各投标人的评标价格得分按以下公式计算：</w:t>
      </w:r>
    </w:p>
    <w:p w14:paraId="4C7E80A6">
      <w:pPr>
        <w:spacing w:before="234" w:beforeLines="75" w:after="234" w:afterLines="75" w:line="1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234" w:beforeLines="75" w:after="234" w:afterLines="75" w:line="32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6D628AA0">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786D107C">
      <w:pPr>
        <w:spacing w:line="160" w:lineRule="exact"/>
        <w:ind w:firstLine="560" w:firstLineChars="200"/>
        <w:rPr>
          <w:rFonts w:ascii="仿宋" w:hAnsi="仿宋" w:eastAsia="仿宋"/>
          <w:sz w:val="28"/>
          <w:szCs w:val="28"/>
        </w:rPr>
      </w:pPr>
    </w:p>
    <w:tbl>
      <w:tblPr>
        <w:tblStyle w:val="4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992"/>
        <w:gridCol w:w="4678"/>
      </w:tblGrid>
      <w:tr w14:paraId="155B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0B1E68B3">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28A3540D">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1CDC32F8">
            <w:pPr>
              <w:jc w:val="center"/>
              <w:rPr>
                <w:rFonts w:ascii="仿宋" w:hAnsi="仿宋" w:eastAsia="仿宋" w:cs="仿宋"/>
                <w:sz w:val="22"/>
              </w:rPr>
            </w:pPr>
            <w:r>
              <w:rPr>
                <w:rFonts w:hint="eastAsia" w:ascii="仿宋" w:hAnsi="仿宋" w:eastAsia="仿宋" w:cs="仿宋"/>
                <w:sz w:val="22"/>
              </w:rPr>
              <w:t>考核内容</w:t>
            </w:r>
          </w:p>
        </w:tc>
        <w:tc>
          <w:tcPr>
            <w:tcW w:w="992" w:type="dxa"/>
            <w:vAlign w:val="center"/>
          </w:tcPr>
          <w:p w14:paraId="469C0911">
            <w:pPr>
              <w:jc w:val="center"/>
              <w:rPr>
                <w:rFonts w:ascii="仿宋" w:hAnsi="仿宋" w:eastAsia="仿宋" w:cs="仿宋"/>
                <w:sz w:val="22"/>
              </w:rPr>
            </w:pPr>
            <w:r>
              <w:rPr>
                <w:rFonts w:hint="eastAsia" w:ascii="仿宋" w:hAnsi="仿宋" w:eastAsia="仿宋" w:cs="仿宋"/>
                <w:sz w:val="22"/>
              </w:rPr>
              <w:t>标准分</w:t>
            </w:r>
          </w:p>
        </w:tc>
        <w:tc>
          <w:tcPr>
            <w:tcW w:w="4678" w:type="dxa"/>
            <w:vAlign w:val="center"/>
          </w:tcPr>
          <w:p w14:paraId="6B14BB1F">
            <w:pPr>
              <w:jc w:val="center"/>
              <w:rPr>
                <w:rFonts w:ascii="仿宋" w:hAnsi="仿宋" w:eastAsia="仿宋" w:cs="仿宋"/>
                <w:sz w:val="22"/>
              </w:rPr>
            </w:pPr>
            <w:r>
              <w:rPr>
                <w:rFonts w:hint="eastAsia" w:ascii="仿宋" w:hAnsi="仿宋" w:eastAsia="仿宋" w:cs="仿宋"/>
                <w:sz w:val="22"/>
              </w:rPr>
              <w:t>评分标准说明</w:t>
            </w:r>
          </w:p>
        </w:tc>
      </w:tr>
      <w:tr w14:paraId="6A3F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714" w:type="dxa"/>
            <w:vAlign w:val="center"/>
          </w:tcPr>
          <w:p w14:paraId="746FB594">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7C95EE24">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1</w:t>
            </w:r>
            <w:r>
              <w:rPr>
                <w:rFonts w:hint="eastAsia" w:ascii="仿宋" w:hAnsi="仿宋" w:eastAsia="仿宋" w:cs="仿宋"/>
                <w:sz w:val="18"/>
                <w:szCs w:val="18"/>
              </w:rPr>
              <w:t>分）</w:t>
            </w:r>
          </w:p>
        </w:tc>
        <w:tc>
          <w:tcPr>
            <w:tcW w:w="1134" w:type="dxa"/>
            <w:vAlign w:val="center"/>
          </w:tcPr>
          <w:p w14:paraId="1EDDD331">
            <w:pPr>
              <w:spacing w:line="240" w:lineRule="exact"/>
              <w:jc w:val="center"/>
              <w:rPr>
                <w:rFonts w:ascii="仿宋" w:hAnsi="仿宋" w:eastAsia="仿宋" w:cs="仿宋"/>
                <w:sz w:val="18"/>
                <w:szCs w:val="18"/>
              </w:rPr>
            </w:pPr>
            <w:r>
              <w:rPr>
                <w:rFonts w:hint="eastAsia" w:ascii="仿宋" w:hAnsi="仿宋" w:eastAsia="仿宋" w:cs="仿宋"/>
                <w:sz w:val="18"/>
                <w:szCs w:val="18"/>
              </w:rPr>
              <w:t>完整性及响应性</w:t>
            </w:r>
          </w:p>
        </w:tc>
        <w:tc>
          <w:tcPr>
            <w:tcW w:w="992" w:type="dxa"/>
            <w:vAlign w:val="center"/>
          </w:tcPr>
          <w:p w14:paraId="3EFBB8DF">
            <w:pPr>
              <w:spacing w:line="240" w:lineRule="exact"/>
              <w:jc w:val="center"/>
              <w:rPr>
                <w:rFonts w:ascii="仿宋" w:hAnsi="仿宋" w:eastAsia="仿宋" w:cs="仿宋"/>
                <w:sz w:val="18"/>
                <w:szCs w:val="18"/>
              </w:rPr>
            </w:pPr>
            <w:r>
              <w:rPr>
                <w:rFonts w:ascii="仿宋" w:hAnsi="仿宋" w:eastAsia="仿宋" w:cs="仿宋"/>
                <w:sz w:val="18"/>
                <w:szCs w:val="18"/>
              </w:rPr>
              <w:t>1</w:t>
            </w:r>
          </w:p>
        </w:tc>
        <w:tc>
          <w:tcPr>
            <w:tcW w:w="4678" w:type="dxa"/>
            <w:vAlign w:val="center"/>
          </w:tcPr>
          <w:p w14:paraId="59F01415">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w:t>
            </w:r>
            <w:r>
              <w:rPr>
                <w:rFonts w:ascii="仿宋" w:hAnsi="仿宋" w:eastAsia="仿宋" w:cs="仿宋"/>
                <w:sz w:val="18"/>
                <w:szCs w:val="18"/>
              </w:rPr>
              <w:t>0</w:t>
            </w:r>
            <w:r>
              <w:rPr>
                <w:rFonts w:hint="eastAsia" w:ascii="仿宋" w:hAnsi="仿宋" w:eastAsia="仿宋" w:cs="仿宋"/>
                <w:sz w:val="18"/>
                <w:szCs w:val="18"/>
              </w:rPr>
              <w:t>分。</w:t>
            </w:r>
          </w:p>
        </w:tc>
      </w:tr>
      <w:tr w14:paraId="61B9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1B1FC0D5">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2C357423">
            <w:pPr>
              <w:spacing w:line="240" w:lineRule="exact"/>
              <w:jc w:val="center"/>
              <w:rPr>
                <w:rFonts w:ascii="仿宋" w:hAnsi="仿宋" w:eastAsia="仿宋" w:cs="仿宋"/>
                <w:sz w:val="18"/>
                <w:szCs w:val="18"/>
              </w:rPr>
            </w:pPr>
            <w:r>
              <w:rPr>
                <w:rFonts w:hint="eastAsia" w:ascii="仿宋" w:hAnsi="仿宋" w:eastAsia="仿宋" w:cs="仿宋"/>
                <w:sz w:val="18"/>
                <w:szCs w:val="18"/>
              </w:rPr>
              <w:t>财务状况（</w:t>
            </w:r>
            <w:r>
              <w:rPr>
                <w:rFonts w:ascii="仿宋" w:hAnsi="仿宋" w:eastAsia="仿宋" w:cs="仿宋"/>
                <w:sz w:val="18"/>
                <w:szCs w:val="18"/>
              </w:rPr>
              <w:t>3</w:t>
            </w:r>
            <w:r>
              <w:rPr>
                <w:rFonts w:hint="eastAsia" w:ascii="仿宋" w:hAnsi="仿宋" w:eastAsia="仿宋" w:cs="仿宋"/>
                <w:sz w:val="18"/>
                <w:szCs w:val="18"/>
              </w:rPr>
              <w:t>分）</w:t>
            </w:r>
          </w:p>
        </w:tc>
        <w:tc>
          <w:tcPr>
            <w:tcW w:w="1134" w:type="dxa"/>
            <w:vAlign w:val="center"/>
          </w:tcPr>
          <w:p w14:paraId="19B52481">
            <w:pPr>
              <w:spacing w:line="240" w:lineRule="exact"/>
              <w:jc w:val="center"/>
              <w:rPr>
                <w:rFonts w:ascii="仿宋" w:hAnsi="仿宋" w:eastAsia="仿宋" w:cs="仿宋"/>
                <w:sz w:val="18"/>
                <w:szCs w:val="18"/>
              </w:rPr>
            </w:pPr>
            <w:r>
              <w:rPr>
                <w:rFonts w:hint="eastAsia" w:ascii="仿宋" w:hAnsi="仿宋" w:eastAsia="仿宋" w:cs="仿宋"/>
                <w:sz w:val="18"/>
                <w:szCs w:val="18"/>
              </w:rPr>
              <w:t>财务状况</w:t>
            </w:r>
          </w:p>
        </w:tc>
        <w:tc>
          <w:tcPr>
            <w:tcW w:w="992" w:type="dxa"/>
            <w:vAlign w:val="center"/>
          </w:tcPr>
          <w:p w14:paraId="55462EC5">
            <w:pPr>
              <w:spacing w:line="240" w:lineRule="exact"/>
              <w:jc w:val="center"/>
              <w:rPr>
                <w:rFonts w:ascii="仿宋" w:hAnsi="仿宋" w:eastAsia="仿宋" w:cs="仿宋"/>
                <w:sz w:val="18"/>
                <w:szCs w:val="18"/>
              </w:rPr>
            </w:pPr>
            <w:r>
              <w:rPr>
                <w:rFonts w:ascii="仿宋" w:hAnsi="仿宋" w:eastAsia="仿宋" w:cs="仿宋"/>
                <w:sz w:val="18"/>
                <w:szCs w:val="18"/>
              </w:rPr>
              <w:t>3</w:t>
            </w:r>
          </w:p>
        </w:tc>
        <w:tc>
          <w:tcPr>
            <w:tcW w:w="4678" w:type="dxa"/>
            <w:vAlign w:val="center"/>
          </w:tcPr>
          <w:p w14:paraId="007D2778">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ascii="仿宋" w:hAnsi="仿宋" w:eastAsia="仿宋"/>
                <w:sz w:val="18"/>
                <w:szCs w:val="18"/>
              </w:rPr>
              <w:t>2</w:t>
            </w:r>
            <w:r>
              <w:rPr>
                <w:rFonts w:hint="eastAsia" w:ascii="仿宋" w:hAnsi="仿宋" w:eastAsia="仿宋"/>
                <w:sz w:val="18"/>
                <w:szCs w:val="18"/>
              </w:rPr>
              <w:t>-202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年度）完整审计报告，企业连续三年均盈利得3分，两年（含两年）显示盈利得2分，两年以下显示盈利得0分。</w:t>
            </w:r>
          </w:p>
          <w:p w14:paraId="5C5FC949">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6054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exact"/>
          <w:jc w:val="center"/>
        </w:trPr>
        <w:tc>
          <w:tcPr>
            <w:tcW w:w="714" w:type="dxa"/>
            <w:vAlign w:val="center"/>
          </w:tcPr>
          <w:p w14:paraId="5A85843B">
            <w:pPr>
              <w:spacing w:line="240" w:lineRule="exact"/>
              <w:jc w:val="center"/>
              <w:rPr>
                <w:rFonts w:ascii="仿宋" w:hAnsi="仿宋" w:eastAsia="仿宋" w:cs="仿宋"/>
                <w:sz w:val="18"/>
                <w:szCs w:val="18"/>
              </w:rPr>
            </w:pPr>
            <w:r>
              <w:rPr>
                <w:rFonts w:ascii="仿宋" w:hAnsi="仿宋" w:eastAsia="仿宋" w:cs="仿宋"/>
                <w:sz w:val="18"/>
                <w:szCs w:val="18"/>
              </w:rPr>
              <w:t>3</w:t>
            </w:r>
          </w:p>
        </w:tc>
        <w:tc>
          <w:tcPr>
            <w:tcW w:w="1691" w:type="dxa"/>
            <w:vAlign w:val="center"/>
          </w:tcPr>
          <w:p w14:paraId="5874BFD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p>
          <w:p w14:paraId="4F2EBBC0">
            <w:pPr>
              <w:snapToGrid w:val="0"/>
              <w:spacing w:line="240" w:lineRule="exact"/>
              <w:jc w:val="center"/>
              <w:rPr>
                <w:rFonts w:ascii="仿宋" w:hAnsi="仿宋" w:eastAsia="仿宋" w:cs="仿宋"/>
                <w:sz w:val="18"/>
                <w:szCs w:val="18"/>
              </w:rPr>
            </w:pPr>
            <w:r>
              <w:rPr>
                <w:rFonts w:ascii="仿宋" w:hAnsi="仿宋" w:eastAsia="仿宋" w:cs="仿宋"/>
                <w:sz w:val="18"/>
                <w:szCs w:val="18"/>
              </w:rPr>
              <w:t>（3分）</w:t>
            </w:r>
          </w:p>
        </w:tc>
        <w:tc>
          <w:tcPr>
            <w:tcW w:w="1134" w:type="dxa"/>
            <w:vAlign w:val="center"/>
          </w:tcPr>
          <w:p w14:paraId="4EE5994E">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992" w:type="dxa"/>
            <w:vAlign w:val="center"/>
          </w:tcPr>
          <w:p w14:paraId="59371608">
            <w:pPr>
              <w:spacing w:line="240" w:lineRule="exact"/>
              <w:jc w:val="center"/>
              <w:rPr>
                <w:rFonts w:ascii="仿宋" w:hAnsi="仿宋" w:eastAsia="仿宋" w:cs="仿宋"/>
                <w:sz w:val="18"/>
                <w:szCs w:val="18"/>
              </w:rPr>
            </w:pPr>
            <w:r>
              <w:rPr>
                <w:rFonts w:ascii="仿宋" w:hAnsi="仿宋" w:eastAsia="仿宋" w:cs="仿宋"/>
                <w:sz w:val="18"/>
                <w:szCs w:val="18"/>
              </w:rPr>
              <w:t>3</w:t>
            </w:r>
          </w:p>
        </w:tc>
        <w:tc>
          <w:tcPr>
            <w:tcW w:w="4678" w:type="dxa"/>
            <w:vAlign w:val="center"/>
          </w:tcPr>
          <w:p w14:paraId="2A24C98C">
            <w:pPr>
              <w:snapToGrid w:val="0"/>
              <w:spacing w:line="240" w:lineRule="exact"/>
              <w:jc w:val="left"/>
              <w:rPr>
                <w:rFonts w:ascii="仿宋" w:hAnsi="仿宋" w:eastAsia="仿宋" w:cs="仿宋"/>
                <w:sz w:val="18"/>
                <w:szCs w:val="18"/>
              </w:rPr>
            </w:pPr>
            <w:r>
              <w:rPr>
                <w:rFonts w:hint="eastAsia" w:ascii="仿宋" w:hAnsi="仿宋" w:eastAsia="仿宋" w:cs="仿宋"/>
                <w:sz w:val="18"/>
                <w:szCs w:val="18"/>
              </w:rPr>
              <w:t>投标方具有完善的质量、环境、职业健康安全保证体系，须具有ISO9001质量、ISO14001环境、ISO45001职业健康安全（或OHSAS18001职业健康安全）管理体系的认证证书（须在有效期内）</w:t>
            </w:r>
            <w:r>
              <w:rPr>
                <w:rFonts w:ascii="仿宋" w:hAnsi="仿宋" w:eastAsia="仿宋" w:cs="仿宋"/>
                <w:sz w:val="18"/>
                <w:szCs w:val="18"/>
              </w:rPr>
              <w:t>。以上证书齐全的得3分</w:t>
            </w:r>
            <w:r>
              <w:rPr>
                <w:rFonts w:hint="eastAsia" w:ascii="仿宋" w:hAnsi="仿宋" w:eastAsia="仿宋" w:cs="仿宋"/>
                <w:sz w:val="18"/>
                <w:szCs w:val="18"/>
              </w:rPr>
              <w:t>，否则不得分。</w:t>
            </w:r>
          </w:p>
        </w:tc>
      </w:tr>
      <w:tr w14:paraId="4616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jc w:val="center"/>
        </w:trPr>
        <w:tc>
          <w:tcPr>
            <w:tcW w:w="714" w:type="dxa"/>
            <w:vAlign w:val="center"/>
          </w:tcPr>
          <w:p w14:paraId="2F593A6C">
            <w:pPr>
              <w:spacing w:line="240" w:lineRule="exact"/>
              <w:jc w:val="center"/>
              <w:rPr>
                <w:rFonts w:ascii="仿宋" w:hAnsi="仿宋" w:eastAsia="仿宋" w:cs="仿宋"/>
                <w:sz w:val="18"/>
                <w:szCs w:val="18"/>
              </w:rPr>
            </w:pPr>
            <w:r>
              <w:rPr>
                <w:rFonts w:ascii="仿宋" w:hAnsi="仿宋" w:eastAsia="仿宋" w:cs="仿宋"/>
                <w:sz w:val="18"/>
                <w:szCs w:val="18"/>
              </w:rPr>
              <w:t>4</w:t>
            </w:r>
          </w:p>
        </w:tc>
        <w:tc>
          <w:tcPr>
            <w:tcW w:w="1691" w:type="dxa"/>
            <w:vAlign w:val="center"/>
          </w:tcPr>
          <w:p w14:paraId="2A61125E">
            <w:pPr>
              <w:spacing w:line="240" w:lineRule="exact"/>
              <w:jc w:val="center"/>
              <w:rPr>
                <w:rFonts w:ascii="仿宋" w:hAnsi="仿宋" w:eastAsia="仿宋"/>
                <w:sz w:val="18"/>
                <w:szCs w:val="18"/>
              </w:rPr>
            </w:pPr>
            <w:r>
              <w:rPr>
                <w:rFonts w:hint="eastAsia" w:ascii="仿宋" w:hAnsi="仿宋" w:eastAsia="仿宋"/>
                <w:sz w:val="18"/>
                <w:szCs w:val="18"/>
              </w:rPr>
              <w:t>质保承诺</w:t>
            </w:r>
          </w:p>
          <w:p w14:paraId="120710CD">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1</w:t>
            </w:r>
            <w:r>
              <w:rPr>
                <w:rFonts w:hint="eastAsia" w:ascii="仿宋" w:hAnsi="仿宋" w:eastAsia="仿宋"/>
                <w:sz w:val="18"/>
                <w:szCs w:val="18"/>
              </w:rPr>
              <w:t>分）</w:t>
            </w:r>
          </w:p>
        </w:tc>
        <w:tc>
          <w:tcPr>
            <w:tcW w:w="1134" w:type="dxa"/>
            <w:vAlign w:val="center"/>
          </w:tcPr>
          <w:p w14:paraId="341C367B">
            <w:pPr>
              <w:spacing w:line="240" w:lineRule="exact"/>
              <w:jc w:val="center"/>
              <w:rPr>
                <w:rFonts w:ascii="仿宋" w:hAnsi="仿宋" w:eastAsia="仿宋" w:cs="仿宋"/>
                <w:sz w:val="18"/>
                <w:szCs w:val="18"/>
              </w:rPr>
            </w:pPr>
            <w:r>
              <w:rPr>
                <w:rFonts w:hint="eastAsia" w:ascii="仿宋" w:hAnsi="仿宋" w:eastAsia="仿宋" w:cs="仿宋"/>
                <w:sz w:val="18"/>
                <w:szCs w:val="18"/>
              </w:rPr>
              <w:t>质保</w:t>
            </w:r>
          </w:p>
        </w:tc>
        <w:tc>
          <w:tcPr>
            <w:tcW w:w="992" w:type="dxa"/>
            <w:vAlign w:val="center"/>
          </w:tcPr>
          <w:p w14:paraId="3962D464">
            <w:pPr>
              <w:spacing w:line="240" w:lineRule="exact"/>
              <w:jc w:val="center"/>
              <w:rPr>
                <w:rFonts w:ascii="仿宋" w:hAnsi="仿宋" w:eastAsia="仿宋" w:cs="仿宋"/>
                <w:sz w:val="18"/>
                <w:szCs w:val="18"/>
              </w:rPr>
            </w:pPr>
            <w:r>
              <w:rPr>
                <w:rFonts w:ascii="仿宋" w:hAnsi="仿宋" w:eastAsia="仿宋" w:cs="仿宋"/>
                <w:sz w:val="18"/>
                <w:szCs w:val="18"/>
              </w:rPr>
              <w:t>1</w:t>
            </w:r>
          </w:p>
        </w:tc>
        <w:tc>
          <w:tcPr>
            <w:tcW w:w="4678" w:type="dxa"/>
            <w:vAlign w:val="center"/>
          </w:tcPr>
          <w:p w14:paraId="068C5916">
            <w:pPr>
              <w:snapToGrid w:val="0"/>
              <w:spacing w:line="240" w:lineRule="exact"/>
              <w:rPr>
                <w:rFonts w:ascii="仿宋" w:hAnsi="仿宋" w:eastAsia="仿宋"/>
                <w:sz w:val="18"/>
                <w:szCs w:val="18"/>
              </w:rPr>
            </w:pPr>
            <w:r>
              <w:rPr>
                <w:rFonts w:hint="eastAsia" w:ascii="仿宋" w:hAnsi="仿宋" w:eastAsia="仿宋"/>
                <w:sz w:val="18"/>
                <w:szCs w:val="18"/>
              </w:rPr>
              <w:t>质保期：在招标文件规定的基础上，质保期每延长6个月得</w:t>
            </w:r>
            <w:r>
              <w:rPr>
                <w:rFonts w:ascii="仿宋" w:hAnsi="仿宋" w:eastAsia="仿宋"/>
                <w:sz w:val="18"/>
                <w:szCs w:val="18"/>
              </w:rPr>
              <w:t>0.5</w:t>
            </w:r>
            <w:r>
              <w:rPr>
                <w:rFonts w:hint="eastAsia" w:ascii="仿宋" w:hAnsi="仿宋" w:eastAsia="仿宋"/>
                <w:sz w:val="18"/>
                <w:szCs w:val="18"/>
              </w:rPr>
              <w:t>分，最高得</w:t>
            </w:r>
            <w:r>
              <w:rPr>
                <w:rFonts w:ascii="仿宋" w:hAnsi="仿宋" w:eastAsia="仿宋"/>
                <w:sz w:val="18"/>
                <w:szCs w:val="18"/>
              </w:rPr>
              <w:t>1</w:t>
            </w:r>
            <w:r>
              <w:rPr>
                <w:rFonts w:hint="eastAsia" w:ascii="仿宋" w:hAnsi="仿宋" w:eastAsia="仿宋"/>
                <w:sz w:val="18"/>
                <w:szCs w:val="18"/>
              </w:rPr>
              <w:t>分，不足6个月不计。</w:t>
            </w:r>
          </w:p>
          <w:p w14:paraId="1F7AD3A7">
            <w:pPr>
              <w:snapToGrid w:val="0"/>
              <w:spacing w:line="240" w:lineRule="exact"/>
              <w:rPr>
                <w:rFonts w:ascii="仿宋" w:hAnsi="仿宋" w:eastAsia="仿宋" w:cs="仿宋"/>
                <w:sz w:val="18"/>
                <w:szCs w:val="18"/>
              </w:rPr>
            </w:pPr>
            <w:r>
              <w:rPr>
                <w:rFonts w:hint="eastAsia" w:ascii="仿宋" w:hAnsi="仿宋" w:eastAsia="仿宋"/>
                <w:sz w:val="18"/>
                <w:szCs w:val="18"/>
              </w:rPr>
              <w:t>（须在投标文件中附承诺并加盖公章，否则不得分。）</w:t>
            </w:r>
          </w:p>
        </w:tc>
      </w:tr>
      <w:tr w14:paraId="620A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714" w:type="dxa"/>
            <w:vAlign w:val="center"/>
          </w:tcPr>
          <w:p w14:paraId="63829B25">
            <w:pPr>
              <w:spacing w:line="240" w:lineRule="exact"/>
              <w:jc w:val="center"/>
              <w:rPr>
                <w:rFonts w:ascii="仿宋" w:hAnsi="仿宋" w:eastAsia="仿宋" w:cs="仿宋"/>
                <w:sz w:val="18"/>
                <w:szCs w:val="18"/>
              </w:rPr>
            </w:pPr>
            <w:r>
              <w:rPr>
                <w:rFonts w:ascii="仿宋" w:hAnsi="仿宋" w:eastAsia="仿宋" w:cs="仿宋"/>
                <w:sz w:val="18"/>
                <w:szCs w:val="18"/>
              </w:rPr>
              <w:t>5</w:t>
            </w:r>
          </w:p>
        </w:tc>
        <w:tc>
          <w:tcPr>
            <w:tcW w:w="1691" w:type="dxa"/>
            <w:vAlign w:val="center"/>
          </w:tcPr>
          <w:p w14:paraId="639E87B3">
            <w:pPr>
              <w:spacing w:line="240" w:lineRule="exact"/>
              <w:jc w:val="center"/>
              <w:rPr>
                <w:rFonts w:ascii="仿宋" w:hAnsi="仿宋" w:eastAsia="仿宋" w:cs="仿宋"/>
                <w:sz w:val="18"/>
                <w:szCs w:val="18"/>
              </w:rPr>
            </w:pPr>
            <w:r>
              <w:rPr>
                <w:rFonts w:hint="eastAsia" w:ascii="仿宋" w:hAnsi="仿宋" w:eastAsia="仿宋"/>
                <w:sz w:val="18"/>
                <w:szCs w:val="18"/>
              </w:rPr>
              <w:t>综合评价（2分）</w:t>
            </w:r>
          </w:p>
        </w:tc>
        <w:tc>
          <w:tcPr>
            <w:tcW w:w="1134" w:type="dxa"/>
            <w:vAlign w:val="center"/>
          </w:tcPr>
          <w:p w14:paraId="53C8C5F4">
            <w:pPr>
              <w:spacing w:line="240" w:lineRule="exact"/>
              <w:jc w:val="center"/>
              <w:rPr>
                <w:rFonts w:ascii="仿宋" w:hAnsi="仿宋" w:eastAsia="仿宋" w:cs="仿宋"/>
                <w:sz w:val="18"/>
                <w:szCs w:val="18"/>
              </w:rPr>
            </w:pPr>
            <w:r>
              <w:rPr>
                <w:rFonts w:hint="eastAsia" w:ascii="仿宋" w:hAnsi="仿宋" w:eastAsia="仿宋" w:cs="仿宋"/>
                <w:sz w:val="18"/>
                <w:szCs w:val="18"/>
              </w:rPr>
              <w:t>综合评价</w:t>
            </w:r>
          </w:p>
        </w:tc>
        <w:tc>
          <w:tcPr>
            <w:tcW w:w="992" w:type="dxa"/>
            <w:vAlign w:val="center"/>
          </w:tcPr>
          <w:p w14:paraId="585EF901">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4678" w:type="dxa"/>
            <w:vAlign w:val="center"/>
          </w:tcPr>
          <w:p w14:paraId="28C3290F">
            <w:pPr>
              <w:spacing w:line="240" w:lineRule="exact"/>
              <w:rPr>
                <w:rFonts w:ascii="仿宋" w:hAnsi="仿宋" w:eastAsia="仿宋" w:cs="仿宋"/>
                <w:sz w:val="18"/>
                <w:szCs w:val="18"/>
              </w:rPr>
            </w:pPr>
            <w:r>
              <w:rPr>
                <w:rFonts w:hint="eastAsia" w:ascii="仿宋" w:hAnsi="仿宋" w:eastAsia="仿宋"/>
                <w:sz w:val="18"/>
                <w:szCs w:val="18"/>
              </w:rPr>
              <w:t>对投标单位的能力以及完成项目的进度、质量、安全、信誉等方面</w:t>
            </w:r>
            <w:r>
              <w:rPr>
                <w:rFonts w:ascii="仿宋" w:hAnsi="仿宋" w:eastAsia="仿宋"/>
                <w:sz w:val="18"/>
                <w:szCs w:val="18"/>
              </w:rPr>
              <w:t>进行综合评价</w:t>
            </w:r>
          </w:p>
        </w:tc>
      </w:tr>
    </w:tbl>
    <w:p w14:paraId="573257F0">
      <w:pPr>
        <w:spacing w:line="240" w:lineRule="exact"/>
        <w:ind w:firstLine="560" w:firstLineChars="200"/>
        <w:rPr>
          <w:rFonts w:ascii="仿宋" w:hAnsi="仿宋" w:eastAsia="仿宋"/>
          <w:sz w:val="28"/>
          <w:szCs w:val="28"/>
        </w:rPr>
      </w:pPr>
    </w:p>
    <w:p w14:paraId="4D0CCAC1">
      <w:pPr>
        <w:spacing w:line="460" w:lineRule="exact"/>
        <w:ind w:firstLine="560" w:firstLineChars="200"/>
        <w:rPr>
          <w:rFonts w:hint="eastAsia" w:ascii="仿宋" w:hAnsi="仿宋" w:eastAsia="仿宋"/>
          <w:sz w:val="28"/>
          <w:szCs w:val="28"/>
        </w:rPr>
      </w:pPr>
    </w:p>
    <w:p w14:paraId="2B542F0D">
      <w:pPr>
        <w:spacing w:line="460" w:lineRule="exact"/>
        <w:ind w:firstLine="560" w:firstLineChars="200"/>
        <w:rPr>
          <w:rFonts w:hint="eastAsia" w:ascii="仿宋" w:hAnsi="仿宋" w:eastAsia="仿宋"/>
          <w:sz w:val="28"/>
          <w:szCs w:val="28"/>
        </w:rPr>
      </w:pPr>
    </w:p>
    <w:p w14:paraId="1D4000E3">
      <w:pPr>
        <w:spacing w:line="460" w:lineRule="exact"/>
        <w:ind w:firstLine="560" w:firstLineChars="200"/>
        <w:rPr>
          <w:rFonts w:hint="eastAsia" w:ascii="仿宋" w:hAnsi="仿宋" w:eastAsia="仿宋"/>
          <w:sz w:val="28"/>
          <w:szCs w:val="28"/>
        </w:rPr>
      </w:pPr>
    </w:p>
    <w:p w14:paraId="4B077873">
      <w:pPr>
        <w:spacing w:line="460" w:lineRule="exact"/>
        <w:rPr>
          <w:rFonts w:hint="eastAsia" w:ascii="仿宋" w:hAnsi="仿宋" w:eastAsia="仿宋"/>
          <w:sz w:val="28"/>
          <w:szCs w:val="28"/>
        </w:rPr>
      </w:pPr>
    </w:p>
    <w:p w14:paraId="3C9C8362">
      <w:pPr>
        <w:spacing w:line="460" w:lineRule="exact"/>
        <w:ind w:firstLine="560" w:firstLineChars="200"/>
        <w:rPr>
          <w:rFonts w:hint="eastAsia" w:ascii="仿宋" w:hAnsi="仿宋" w:eastAsia="仿宋"/>
          <w:sz w:val="28"/>
          <w:szCs w:val="28"/>
        </w:rPr>
      </w:pPr>
    </w:p>
    <w:p w14:paraId="416479F7">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54B7EECB">
      <w:pPr>
        <w:spacing w:line="100" w:lineRule="exact"/>
        <w:ind w:firstLine="2741" w:firstLineChars="1300"/>
        <w:rPr>
          <w:rFonts w:ascii="宋体" w:hAnsi="宋体"/>
          <w:b/>
          <w:szCs w:val="21"/>
        </w:rPr>
      </w:pPr>
    </w:p>
    <w:p w14:paraId="46A7C229">
      <w:pPr>
        <w:spacing w:line="460" w:lineRule="exact"/>
        <w:ind w:firstLine="2741" w:firstLineChars="13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2CD07909">
      <w:pPr>
        <w:spacing w:line="160" w:lineRule="exact"/>
        <w:ind w:firstLine="2741" w:firstLineChars="1300"/>
        <w:rPr>
          <w:rFonts w:ascii="宋体" w:hAnsi="宋体"/>
          <w:b/>
          <w:szCs w:val="21"/>
        </w:rPr>
      </w:pPr>
    </w:p>
    <w:tbl>
      <w:tblPr>
        <w:tblStyle w:val="48"/>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693"/>
        <w:gridCol w:w="993"/>
        <w:gridCol w:w="3685"/>
        <w:gridCol w:w="1036"/>
      </w:tblGrid>
      <w:tr w14:paraId="2A77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6" w:type="dxa"/>
            <w:tcBorders>
              <w:bottom w:val="single" w:color="auto" w:sz="4" w:space="0"/>
            </w:tcBorders>
            <w:vAlign w:val="center"/>
          </w:tcPr>
          <w:p w14:paraId="7C0474FE">
            <w:pPr>
              <w:adjustRightInd w:val="0"/>
              <w:snapToGrid w:val="0"/>
              <w:spacing w:line="240" w:lineRule="exact"/>
              <w:jc w:val="center"/>
              <w:rPr>
                <w:rFonts w:ascii="仿宋" w:hAnsi="仿宋" w:eastAsia="仿宋"/>
                <w:b/>
              </w:rPr>
            </w:pPr>
            <w:r>
              <w:rPr>
                <w:rFonts w:hint="eastAsia" w:ascii="仿宋" w:hAnsi="仿宋" w:eastAsia="仿宋"/>
                <w:b/>
              </w:rPr>
              <w:t>序号</w:t>
            </w:r>
          </w:p>
        </w:tc>
        <w:tc>
          <w:tcPr>
            <w:tcW w:w="2693" w:type="dxa"/>
            <w:tcBorders>
              <w:bottom w:val="single" w:color="auto" w:sz="4" w:space="0"/>
            </w:tcBorders>
            <w:vAlign w:val="center"/>
          </w:tcPr>
          <w:p w14:paraId="52092C28">
            <w:pPr>
              <w:adjustRightInd w:val="0"/>
              <w:snapToGrid w:val="0"/>
              <w:spacing w:line="240" w:lineRule="exact"/>
              <w:jc w:val="center"/>
              <w:rPr>
                <w:rFonts w:ascii="仿宋" w:hAnsi="仿宋" w:eastAsia="仿宋"/>
                <w:b/>
              </w:rPr>
            </w:pPr>
            <w:r>
              <w:rPr>
                <w:rFonts w:hint="eastAsia" w:ascii="仿宋" w:hAnsi="仿宋" w:eastAsia="仿宋"/>
                <w:b/>
              </w:rPr>
              <w:t>项目</w:t>
            </w:r>
          </w:p>
        </w:tc>
        <w:tc>
          <w:tcPr>
            <w:tcW w:w="993" w:type="dxa"/>
            <w:tcBorders>
              <w:bottom w:val="single" w:color="auto" w:sz="4" w:space="0"/>
            </w:tcBorders>
            <w:vAlign w:val="center"/>
          </w:tcPr>
          <w:p w14:paraId="44EFEC59">
            <w:pPr>
              <w:adjustRightInd w:val="0"/>
              <w:snapToGrid w:val="0"/>
              <w:spacing w:line="240" w:lineRule="exact"/>
              <w:jc w:val="center"/>
              <w:rPr>
                <w:rFonts w:ascii="仿宋" w:hAnsi="仿宋" w:eastAsia="仿宋"/>
                <w:b/>
              </w:rPr>
            </w:pPr>
            <w:r>
              <w:rPr>
                <w:rFonts w:hint="eastAsia" w:ascii="仿宋" w:hAnsi="仿宋" w:eastAsia="仿宋"/>
                <w:b/>
              </w:rPr>
              <w:t>标准分</w:t>
            </w:r>
          </w:p>
        </w:tc>
        <w:tc>
          <w:tcPr>
            <w:tcW w:w="3685" w:type="dxa"/>
            <w:tcBorders>
              <w:bottom w:val="single" w:color="auto" w:sz="4" w:space="0"/>
            </w:tcBorders>
            <w:vAlign w:val="center"/>
          </w:tcPr>
          <w:p w14:paraId="434AE8CD">
            <w:pPr>
              <w:adjustRightInd w:val="0"/>
              <w:snapToGrid w:val="0"/>
              <w:spacing w:line="240" w:lineRule="exact"/>
              <w:jc w:val="center"/>
              <w:rPr>
                <w:rFonts w:ascii="仿宋" w:hAnsi="仿宋" w:eastAsia="仿宋"/>
                <w:b/>
              </w:rPr>
            </w:pPr>
            <w:r>
              <w:rPr>
                <w:rFonts w:hint="eastAsia" w:ascii="仿宋" w:hAnsi="仿宋" w:eastAsia="仿宋"/>
                <w:b/>
              </w:rPr>
              <w:t>评分标准</w:t>
            </w:r>
          </w:p>
        </w:tc>
        <w:tc>
          <w:tcPr>
            <w:tcW w:w="1036" w:type="dxa"/>
            <w:tcBorders>
              <w:bottom w:val="single" w:color="auto" w:sz="4" w:space="0"/>
            </w:tcBorders>
            <w:vAlign w:val="center"/>
          </w:tcPr>
          <w:p w14:paraId="2BD1CB7A">
            <w:pPr>
              <w:adjustRightInd w:val="0"/>
              <w:snapToGrid w:val="0"/>
              <w:spacing w:line="240" w:lineRule="exact"/>
              <w:jc w:val="center"/>
              <w:rPr>
                <w:rFonts w:ascii="仿宋" w:hAnsi="仿宋" w:eastAsia="仿宋"/>
                <w:b/>
              </w:rPr>
            </w:pPr>
            <w:r>
              <w:rPr>
                <w:rFonts w:hint="eastAsia" w:ascii="仿宋" w:hAnsi="仿宋" w:eastAsia="仿宋"/>
                <w:b/>
              </w:rPr>
              <w:t>分值</w:t>
            </w:r>
          </w:p>
        </w:tc>
      </w:tr>
      <w:tr w14:paraId="1E66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756" w:type="dxa"/>
            <w:vMerge w:val="restart"/>
            <w:vAlign w:val="center"/>
          </w:tcPr>
          <w:p w14:paraId="53001F56">
            <w:pPr>
              <w:spacing w:line="240" w:lineRule="exact"/>
              <w:jc w:val="center"/>
              <w:rPr>
                <w:rFonts w:ascii="仿宋" w:hAnsi="仿宋" w:eastAsia="仿宋"/>
              </w:rPr>
            </w:pPr>
            <w:r>
              <w:rPr>
                <w:rFonts w:hint="eastAsia" w:ascii="仿宋" w:hAnsi="仿宋" w:eastAsia="仿宋"/>
              </w:rPr>
              <w:t>1</w:t>
            </w:r>
          </w:p>
        </w:tc>
        <w:tc>
          <w:tcPr>
            <w:tcW w:w="2693" w:type="dxa"/>
            <w:vMerge w:val="restart"/>
            <w:vAlign w:val="center"/>
          </w:tcPr>
          <w:p w14:paraId="46BEF704">
            <w:pPr>
              <w:spacing w:line="380" w:lineRule="exact"/>
              <w:ind w:firstLine="420" w:firstLineChars="200"/>
              <w:rPr>
                <w:rFonts w:ascii="仿宋" w:hAnsi="仿宋" w:eastAsia="仿宋"/>
              </w:rPr>
            </w:pPr>
            <w:r>
              <w:rPr>
                <w:rFonts w:hint="eastAsia" w:ascii="仿宋" w:hAnsi="仿宋" w:eastAsia="仿宋"/>
              </w:rPr>
              <w:t>技术方案</w:t>
            </w:r>
          </w:p>
        </w:tc>
        <w:tc>
          <w:tcPr>
            <w:tcW w:w="993" w:type="dxa"/>
            <w:vMerge w:val="restart"/>
            <w:vAlign w:val="center"/>
          </w:tcPr>
          <w:p w14:paraId="271726F3">
            <w:pPr>
              <w:spacing w:line="380" w:lineRule="exact"/>
              <w:jc w:val="center"/>
              <w:rPr>
                <w:rFonts w:ascii="仿宋" w:hAnsi="仿宋" w:eastAsia="仿宋"/>
              </w:rPr>
            </w:pPr>
            <w:r>
              <w:rPr>
                <w:rFonts w:ascii="仿宋" w:hAnsi="仿宋" w:eastAsia="仿宋"/>
              </w:rPr>
              <w:t>1</w:t>
            </w:r>
            <w:r>
              <w:rPr>
                <w:rFonts w:hint="eastAsia" w:ascii="仿宋" w:hAnsi="仿宋" w:eastAsia="仿宋"/>
              </w:rPr>
              <w:t>0分</w:t>
            </w:r>
          </w:p>
        </w:tc>
        <w:tc>
          <w:tcPr>
            <w:tcW w:w="3685" w:type="dxa"/>
            <w:vAlign w:val="center"/>
          </w:tcPr>
          <w:p w14:paraId="3E3E1198">
            <w:pPr>
              <w:spacing w:line="240" w:lineRule="exact"/>
              <w:rPr>
                <w:rFonts w:ascii="仿宋" w:hAnsi="仿宋" w:eastAsia="仿宋"/>
                <w:spacing w:val="-4"/>
                <w:sz w:val="20"/>
                <w:szCs w:val="18"/>
              </w:rPr>
            </w:pPr>
            <w:r>
              <w:rPr>
                <w:rFonts w:hint="eastAsia" w:ascii="仿宋" w:hAnsi="仿宋" w:eastAsia="仿宋"/>
                <w:spacing w:val="-4"/>
                <w:sz w:val="20"/>
                <w:szCs w:val="18"/>
              </w:rPr>
              <w:t>根据投标单位提供的技术方案：具有技术针对性，科学可行，方案明理清析得</w:t>
            </w:r>
            <w:r>
              <w:rPr>
                <w:rFonts w:ascii="仿宋" w:hAnsi="仿宋" w:eastAsia="仿宋"/>
                <w:spacing w:val="-4"/>
                <w:sz w:val="20"/>
                <w:szCs w:val="18"/>
              </w:rPr>
              <w:t>10</w:t>
            </w:r>
            <w:r>
              <w:rPr>
                <w:rFonts w:hint="eastAsia" w:ascii="仿宋" w:hAnsi="仿宋" w:eastAsia="仿宋"/>
                <w:spacing w:val="-4"/>
                <w:sz w:val="20"/>
                <w:szCs w:val="18"/>
              </w:rPr>
              <w:t>-</w:t>
            </w:r>
            <w:r>
              <w:rPr>
                <w:rFonts w:ascii="仿宋" w:hAnsi="仿宋" w:eastAsia="仿宋"/>
                <w:spacing w:val="-4"/>
                <w:sz w:val="20"/>
                <w:szCs w:val="18"/>
              </w:rPr>
              <w:t>8</w:t>
            </w:r>
            <w:r>
              <w:rPr>
                <w:rFonts w:hint="eastAsia" w:ascii="仿宋" w:hAnsi="仿宋" w:eastAsia="仿宋"/>
                <w:spacing w:val="-4"/>
                <w:sz w:val="20"/>
                <w:szCs w:val="18"/>
              </w:rPr>
              <w:t>分，一般得</w:t>
            </w:r>
            <w:r>
              <w:rPr>
                <w:rFonts w:ascii="仿宋" w:hAnsi="仿宋" w:eastAsia="仿宋"/>
                <w:spacing w:val="-4"/>
                <w:sz w:val="20"/>
                <w:szCs w:val="18"/>
              </w:rPr>
              <w:t>7</w:t>
            </w:r>
            <w:r>
              <w:rPr>
                <w:rFonts w:hint="eastAsia" w:ascii="仿宋" w:hAnsi="仿宋" w:eastAsia="仿宋"/>
                <w:spacing w:val="-4"/>
                <w:sz w:val="20"/>
                <w:szCs w:val="18"/>
              </w:rPr>
              <w:t>-</w:t>
            </w:r>
            <w:r>
              <w:rPr>
                <w:rFonts w:ascii="仿宋" w:hAnsi="仿宋" w:eastAsia="仿宋"/>
                <w:spacing w:val="-4"/>
                <w:sz w:val="20"/>
                <w:szCs w:val="18"/>
              </w:rPr>
              <w:t>5</w:t>
            </w:r>
            <w:r>
              <w:rPr>
                <w:rFonts w:hint="eastAsia" w:ascii="仿宋" w:hAnsi="仿宋" w:eastAsia="仿宋"/>
                <w:spacing w:val="-4"/>
                <w:sz w:val="20"/>
                <w:szCs w:val="18"/>
              </w:rPr>
              <w:t>分，方案不充分、不完善得</w:t>
            </w:r>
            <w:r>
              <w:rPr>
                <w:rFonts w:ascii="仿宋" w:hAnsi="仿宋" w:eastAsia="仿宋"/>
                <w:spacing w:val="-4"/>
                <w:sz w:val="20"/>
                <w:szCs w:val="18"/>
              </w:rPr>
              <w:t>4</w:t>
            </w:r>
            <w:r>
              <w:rPr>
                <w:rFonts w:hint="eastAsia" w:ascii="仿宋" w:hAnsi="仿宋" w:eastAsia="仿宋"/>
                <w:spacing w:val="-4"/>
                <w:sz w:val="20"/>
                <w:szCs w:val="18"/>
              </w:rPr>
              <w:t>-0分。</w:t>
            </w:r>
          </w:p>
        </w:tc>
        <w:tc>
          <w:tcPr>
            <w:tcW w:w="1036" w:type="dxa"/>
            <w:vAlign w:val="center"/>
          </w:tcPr>
          <w:p w14:paraId="6E35BB79">
            <w:pPr>
              <w:spacing w:line="380" w:lineRule="exact"/>
              <w:rPr>
                <w:rFonts w:ascii="仿宋" w:hAnsi="仿宋" w:eastAsia="仿宋"/>
              </w:rPr>
            </w:pPr>
            <w:r>
              <w:rPr>
                <w:rFonts w:hint="eastAsia" w:ascii="仿宋" w:hAnsi="仿宋" w:eastAsia="仿宋"/>
              </w:rPr>
              <w:t>0-</w:t>
            </w:r>
            <w:r>
              <w:rPr>
                <w:rFonts w:ascii="仿宋" w:hAnsi="仿宋" w:eastAsia="仿宋"/>
              </w:rPr>
              <w:t>1</w:t>
            </w:r>
            <w:r>
              <w:rPr>
                <w:rFonts w:hint="eastAsia" w:ascii="仿宋" w:hAnsi="仿宋" w:eastAsia="仿宋"/>
              </w:rPr>
              <w:t>0分</w:t>
            </w:r>
          </w:p>
        </w:tc>
      </w:tr>
      <w:tr w14:paraId="7CC1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756" w:type="dxa"/>
            <w:vAlign w:val="center"/>
          </w:tcPr>
          <w:p w14:paraId="168E9957">
            <w:pPr>
              <w:spacing w:line="240" w:lineRule="exact"/>
              <w:jc w:val="center"/>
              <w:rPr>
                <w:rFonts w:ascii="仿宋" w:hAnsi="仿宋" w:eastAsia="仿宋"/>
              </w:rPr>
            </w:pPr>
            <w:r>
              <w:rPr>
                <w:rFonts w:hint="eastAsia" w:ascii="仿宋" w:hAnsi="仿宋" w:eastAsia="仿宋"/>
              </w:rPr>
              <w:t>2</w:t>
            </w:r>
          </w:p>
        </w:tc>
        <w:tc>
          <w:tcPr>
            <w:tcW w:w="2693" w:type="dxa"/>
            <w:vAlign w:val="center"/>
          </w:tcPr>
          <w:p w14:paraId="779D58AC">
            <w:pPr>
              <w:spacing w:line="380" w:lineRule="exact"/>
              <w:ind w:firstLine="420" w:firstLineChars="200"/>
              <w:rPr>
                <w:rFonts w:ascii="仿宋" w:hAnsi="仿宋" w:eastAsia="仿宋"/>
              </w:rPr>
            </w:pPr>
            <w:r>
              <w:rPr>
                <w:rFonts w:hint="eastAsia" w:ascii="仿宋" w:hAnsi="仿宋" w:eastAsia="仿宋"/>
              </w:rPr>
              <w:t>合理化建议</w:t>
            </w:r>
          </w:p>
        </w:tc>
        <w:tc>
          <w:tcPr>
            <w:tcW w:w="993" w:type="dxa"/>
            <w:vAlign w:val="center"/>
          </w:tcPr>
          <w:p w14:paraId="6A5FB5EB">
            <w:pPr>
              <w:spacing w:line="380" w:lineRule="exact"/>
              <w:jc w:val="center"/>
              <w:rPr>
                <w:rFonts w:ascii="仿宋" w:hAnsi="仿宋" w:eastAsia="仿宋"/>
              </w:rPr>
            </w:pPr>
            <w:r>
              <w:rPr>
                <w:rFonts w:hint="eastAsia" w:ascii="仿宋" w:hAnsi="仿宋" w:eastAsia="仿宋"/>
              </w:rPr>
              <w:t>2分</w:t>
            </w:r>
          </w:p>
        </w:tc>
        <w:tc>
          <w:tcPr>
            <w:tcW w:w="3685" w:type="dxa"/>
            <w:vAlign w:val="center"/>
          </w:tcPr>
          <w:p w14:paraId="74D2E6E3">
            <w:pPr>
              <w:spacing w:line="240" w:lineRule="exact"/>
              <w:rPr>
                <w:rFonts w:ascii="仿宋" w:hAnsi="仿宋" w:eastAsia="仿宋"/>
                <w:spacing w:val="-4"/>
                <w:sz w:val="20"/>
                <w:szCs w:val="18"/>
              </w:rPr>
            </w:pPr>
            <w:r>
              <w:rPr>
                <w:rFonts w:hint="eastAsia" w:ascii="仿宋" w:hAnsi="仿宋" w:eastAsia="仿宋"/>
                <w:spacing w:val="-4"/>
                <w:sz w:val="20"/>
                <w:szCs w:val="18"/>
              </w:rPr>
              <w:t>每被采纳1条得1分</w:t>
            </w:r>
          </w:p>
        </w:tc>
        <w:tc>
          <w:tcPr>
            <w:tcW w:w="1036" w:type="dxa"/>
            <w:vAlign w:val="center"/>
          </w:tcPr>
          <w:p w14:paraId="59F08F98">
            <w:pPr>
              <w:spacing w:line="380" w:lineRule="exact"/>
              <w:rPr>
                <w:rFonts w:ascii="仿宋" w:hAnsi="仿宋" w:eastAsia="仿宋"/>
              </w:rPr>
            </w:pPr>
            <w:r>
              <w:rPr>
                <w:rFonts w:hint="eastAsia" w:ascii="仿宋" w:hAnsi="仿宋" w:eastAsia="仿宋"/>
              </w:rPr>
              <w:t>0-2分</w:t>
            </w:r>
          </w:p>
        </w:tc>
      </w:tr>
      <w:tr w14:paraId="2574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3" w:hRule="atLeast"/>
          <w:jc w:val="center"/>
        </w:trPr>
        <w:tc>
          <w:tcPr>
            <w:tcW w:w="756" w:type="dxa"/>
            <w:vAlign w:val="center"/>
          </w:tcPr>
          <w:p w14:paraId="062AA599">
            <w:pPr>
              <w:spacing w:line="240" w:lineRule="exact"/>
              <w:jc w:val="center"/>
              <w:rPr>
                <w:rFonts w:ascii="仿宋" w:hAnsi="仿宋" w:eastAsia="仿宋"/>
              </w:rPr>
            </w:pPr>
            <w:r>
              <w:rPr>
                <w:rFonts w:hint="eastAsia" w:ascii="仿宋" w:hAnsi="仿宋" w:eastAsia="仿宋"/>
              </w:rPr>
              <w:t>3</w:t>
            </w:r>
          </w:p>
        </w:tc>
        <w:tc>
          <w:tcPr>
            <w:tcW w:w="2693" w:type="dxa"/>
            <w:vAlign w:val="center"/>
          </w:tcPr>
          <w:p w14:paraId="2D1F8014">
            <w:pPr>
              <w:spacing w:line="380" w:lineRule="exact"/>
              <w:ind w:firstLine="360" w:firstLineChars="200"/>
              <w:rPr>
                <w:rFonts w:ascii="仿宋" w:hAnsi="仿宋" w:eastAsia="仿宋"/>
              </w:rPr>
            </w:pPr>
            <w:r>
              <w:rPr>
                <w:rFonts w:hint="eastAsia" w:ascii="仿宋" w:hAnsi="仿宋" w:eastAsia="仿宋" w:cs="仿宋"/>
                <w:sz w:val="18"/>
                <w:szCs w:val="18"/>
              </w:rPr>
              <w:t>业绩</w:t>
            </w:r>
          </w:p>
        </w:tc>
        <w:tc>
          <w:tcPr>
            <w:tcW w:w="993" w:type="dxa"/>
            <w:vAlign w:val="center"/>
          </w:tcPr>
          <w:p w14:paraId="2C813A29">
            <w:pPr>
              <w:spacing w:line="380" w:lineRule="exact"/>
              <w:jc w:val="center"/>
              <w:rPr>
                <w:rFonts w:ascii="仿宋" w:hAnsi="仿宋" w:eastAsia="仿宋"/>
              </w:rPr>
            </w:pPr>
            <w:r>
              <w:rPr>
                <w:rFonts w:ascii="仿宋" w:hAnsi="仿宋" w:eastAsia="仿宋"/>
              </w:rPr>
              <w:t>6</w:t>
            </w:r>
            <w:r>
              <w:rPr>
                <w:rFonts w:hint="eastAsia" w:ascii="仿宋" w:hAnsi="仿宋" w:eastAsia="仿宋"/>
              </w:rPr>
              <w:t>分</w:t>
            </w:r>
          </w:p>
        </w:tc>
        <w:tc>
          <w:tcPr>
            <w:tcW w:w="3685" w:type="dxa"/>
            <w:vAlign w:val="center"/>
          </w:tcPr>
          <w:p w14:paraId="74A107E4">
            <w:pPr>
              <w:spacing w:line="200" w:lineRule="exact"/>
              <w:rPr>
                <w:rFonts w:ascii="仿宋" w:hAnsi="仿宋" w:eastAsia="仿宋"/>
                <w:spacing w:val="-4"/>
                <w:sz w:val="20"/>
                <w:szCs w:val="18"/>
              </w:rPr>
            </w:pPr>
            <w:bookmarkStart w:id="0" w:name="_Hlk216336373"/>
            <w:r>
              <w:rPr>
                <w:rFonts w:hint="eastAsia" w:ascii="仿宋" w:hAnsi="仿宋" w:eastAsia="仿宋"/>
                <w:sz w:val="18"/>
                <w:szCs w:val="18"/>
              </w:rPr>
              <w:t>近4年内不低于3个已施工结束的600MW及以上的燃煤火电机组空预器清洗施工业绩（合同已签未施工的不属于业绩范围），要求列出电厂名称、机组类型，机组容量、清洗方式、施工时间及联系人（附业绩合同，需明确体现台数)业绩</w:t>
            </w:r>
            <w:bookmarkEnd w:id="0"/>
            <w:r>
              <w:rPr>
                <w:rFonts w:hint="eastAsia" w:ascii="仿宋" w:hAnsi="仿宋" w:eastAsia="仿宋"/>
                <w:sz w:val="18"/>
                <w:szCs w:val="18"/>
              </w:rPr>
              <w:t>（有</w:t>
            </w:r>
            <w:r>
              <w:rPr>
                <w:rFonts w:ascii="仿宋" w:hAnsi="仿宋" w:eastAsia="仿宋"/>
                <w:sz w:val="18"/>
                <w:szCs w:val="18"/>
              </w:rPr>
              <w:t>3</w:t>
            </w:r>
            <w:r>
              <w:rPr>
                <w:rFonts w:hint="eastAsia" w:ascii="仿宋" w:hAnsi="仿宋" w:eastAsia="仿宋"/>
                <w:sz w:val="18"/>
                <w:szCs w:val="18"/>
              </w:rPr>
              <w:t>个得</w:t>
            </w:r>
            <w:r>
              <w:rPr>
                <w:rFonts w:ascii="仿宋" w:hAnsi="仿宋" w:eastAsia="仿宋"/>
                <w:sz w:val="18"/>
                <w:szCs w:val="18"/>
              </w:rPr>
              <w:t>0</w:t>
            </w:r>
            <w:r>
              <w:rPr>
                <w:rFonts w:hint="eastAsia" w:ascii="仿宋" w:hAnsi="仿宋" w:eastAsia="仿宋"/>
                <w:sz w:val="18"/>
                <w:szCs w:val="18"/>
              </w:rPr>
              <w:t>分，每增加一个业绩加1分，最多得</w:t>
            </w:r>
            <w:r>
              <w:rPr>
                <w:rFonts w:ascii="仿宋" w:hAnsi="仿宋" w:eastAsia="仿宋"/>
                <w:sz w:val="18"/>
                <w:szCs w:val="18"/>
              </w:rPr>
              <w:t>6</w:t>
            </w:r>
            <w:r>
              <w:rPr>
                <w:rFonts w:hint="eastAsia" w:ascii="仿宋" w:hAnsi="仿宋" w:eastAsia="仿宋"/>
                <w:sz w:val="18"/>
                <w:szCs w:val="18"/>
              </w:rPr>
              <w:t>分）</w:t>
            </w:r>
          </w:p>
        </w:tc>
        <w:tc>
          <w:tcPr>
            <w:tcW w:w="1036" w:type="dxa"/>
            <w:vAlign w:val="center"/>
          </w:tcPr>
          <w:p w14:paraId="60B89D3A">
            <w:pPr>
              <w:spacing w:line="380" w:lineRule="exact"/>
              <w:rPr>
                <w:rFonts w:ascii="仿宋" w:hAnsi="仿宋" w:eastAsia="仿宋"/>
              </w:rPr>
            </w:pPr>
            <w:r>
              <w:rPr>
                <w:rFonts w:hint="eastAsia" w:ascii="仿宋" w:hAnsi="仿宋" w:eastAsia="仿宋"/>
              </w:rPr>
              <w:t>0</w:t>
            </w:r>
            <w:r>
              <w:rPr>
                <w:rFonts w:ascii="仿宋" w:hAnsi="仿宋" w:eastAsia="仿宋"/>
              </w:rPr>
              <w:t>-6</w:t>
            </w:r>
            <w:r>
              <w:rPr>
                <w:rFonts w:hint="eastAsia" w:ascii="仿宋" w:hAnsi="仿宋" w:eastAsia="仿宋"/>
              </w:rPr>
              <w:t>分</w:t>
            </w:r>
          </w:p>
        </w:tc>
      </w:tr>
      <w:tr w14:paraId="470D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jc w:val="center"/>
        </w:trPr>
        <w:tc>
          <w:tcPr>
            <w:tcW w:w="756" w:type="dxa"/>
            <w:vMerge w:val="restart"/>
            <w:vAlign w:val="center"/>
          </w:tcPr>
          <w:p w14:paraId="4B2ED4EB">
            <w:pPr>
              <w:spacing w:line="240" w:lineRule="exact"/>
              <w:jc w:val="center"/>
              <w:rPr>
                <w:rFonts w:ascii="仿宋" w:hAnsi="仿宋" w:eastAsia="仿宋"/>
              </w:rPr>
            </w:pPr>
            <w:r>
              <w:rPr>
                <w:rFonts w:ascii="仿宋" w:hAnsi="仿宋" w:eastAsia="仿宋"/>
              </w:rPr>
              <w:t>4</w:t>
            </w:r>
          </w:p>
        </w:tc>
        <w:tc>
          <w:tcPr>
            <w:tcW w:w="2693" w:type="dxa"/>
            <w:vMerge w:val="restart"/>
            <w:vAlign w:val="center"/>
          </w:tcPr>
          <w:p w14:paraId="5EAB0759">
            <w:pPr>
              <w:spacing w:line="380" w:lineRule="exact"/>
              <w:ind w:firstLine="315" w:firstLineChars="150"/>
              <w:rPr>
                <w:rFonts w:ascii="仿宋" w:hAnsi="仿宋" w:eastAsia="仿宋"/>
              </w:rPr>
            </w:pPr>
            <w:r>
              <w:rPr>
                <w:rFonts w:hint="eastAsia" w:ascii="仿宋" w:hAnsi="仿宋" w:eastAsia="仿宋"/>
              </w:rPr>
              <w:t>维护实施计划编制</w:t>
            </w:r>
          </w:p>
        </w:tc>
        <w:tc>
          <w:tcPr>
            <w:tcW w:w="993" w:type="dxa"/>
            <w:vMerge w:val="restart"/>
            <w:vAlign w:val="center"/>
          </w:tcPr>
          <w:p w14:paraId="6245C236">
            <w:pPr>
              <w:spacing w:line="380" w:lineRule="exact"/>
              <w:jc w:val="center"/>
              <w:rPr>
                <w:rFonts w:ascii="仿宋" w:hAnsi="仿宋" w:eastAsia="仿宋"/>
              </w:rPr>
            </w:pPr>
            <w:r>
              <w:rPr>
                <w:rFonts w:ascii="仿宋" w:hAnsi="仿宋" w:eastAsia="仿宋"/>
              </w:rPr>
              <w:t>4</w:t>
            </w:r>
            <w:r>
              <w:rPr>
                <w:rFonts w:hint="eastAsia" w:ascii="仿宋" w:hAnsi="仿宋" w:eastAsia="仿宋"/>
              </w:rPr>
              <w:t>分</w:t>
            </w:r>
          </w:p>
        </w:tc>
        <w:tc>
          <w:tcPr>
            <w:tcW w:w="3685" w:type="dxa"/>
            <w:vAlign w:val="center"/>
          </w:tcPr>
          <w:p w14:paraId="29388C80">
            <w:pPr>
              <w:spacing w:line="240" w:lineRule="exact"/>
              <w:rPr>
                <w:rFonts w:ascii="仿宋" w:hAnsi="仿宋" w:eastAsia="仿宋"/>
                <w:sz w:val="20"/>
                <w:szCs w:val="18"/>
              </w:rPr>
            </w:pPr>
            <w:r>
              <w:rPr>
                <w:rFonts w:hint="eastAsia" w:ascii="仿宋" w:hAnsi="仿宋" w:eastAsia="仿宋"/>
                <w:sz w:val="20"/>
                <w:szCs w:val="18"/>
              </w:rPr>
              <w:t>针对本项目编制科学、详细、合理的实施计划得</w:t>
            </w:r>
            <w:r>
              <w:rPr>
                <w:rFonts w:ascii="仿宋" w:hAnsi="仿宋" w:eastAsia="仿宋"/>
                <w:sz w:val="20"/>
                <w:szCs w:val="18"/>
              </w:rPr>
              <w:t>4</w:t>
            </w:r>
            <w:r>
              <w:rPr>
                <w:rFonts w:hint="eastAsia" w:ascii="仿宋" w:hAnsi="仿宋" w:eastAsia="仿宋"/>
                <w:sz w:val="20"/>
                <w:szCs w:val="18"/>
              </w:rPr>
              <w:t>-</w:t>
            </w:r>
            <w:r>
              <w:rPr>
                <w:rFonts w:ascii="仿宋" w:hAnsi="仿宋" w:eastAsia="仿宋"/>
                <w:sz w:val="20"/>
                <w:szCs w:val="18"/>
              </w:rPr>
              <w:t>3</w:t>
            </w:r>
            <w:r>
              <w:rPr>
                <w:rFonts w:hint="eastAsia" w:ascii="仿宋" w:hAnsi="仿宋" w:eastAsia="仿宋"/>
                <w:sz w:val="20"/>
                <w:szCs w:val="18"/>
              </w:rPr>
              <w:t>分，一般得</w:t>
            </w:r>
            <w:r>
              <w:rPr>
                <w:rFonts w:ascii="仿宋" w:hAnsi="仿宋" w:eastAsia="仿宋"/>
                <w:sz w:val="20"/>
                <w:szCs w:val="18"/>
              </w:rPr>
              <w:t>2</w:t>
            </w:r>
            <w:r>
              <w:rPr>
                <w:rFonts w:hint="eastAsia" w:ascii="仿宋" w:hAnsi="仿宋" w:eastAsia="仿宋"/>
                <w:sz w:val="20"/>
                <w:szCs w:val="18"/>
              </w:rPr>
              <w:t>-</w:t>
            </w:r>
            <w:r>
              <w:rPr>
                <w:rFonts w:ascii="仿宋" w:hAnsi="仿宋" w:eastAsia="仿宋"/>
                <w:sz w:val="20"/>
                <w:szCs w:val="18"/>
              </w:rPr>
              <w:t>1</w:t>
            </w:r>
            <w:r>
              <w:rPr>
                <w:rFonts w:hint="eastAsia" w:ascii="仿宋" w:hAnsi="仿宋" w:eastAsia="仿宋"/>
                <w:sz w:val="20"/>
                <w:szCs w:val="18"/>
              </w:rPr>
              <w:t>分，编制计划不完善的得0分。</w:t>
            </w:r>
          </w:p>
        </w:tc>
        <w:tc>
          <w:tcPr>
            <w:tcW w:w="1036" w:type="dxa"/>
            <w:vAlign w:val="center"/>
          </w:tcPr>
          <w:p w14:paraId="7972E024">
            <w:pPr>
              <w:spacing w:line="380" w:lineRule="exact"/>
              <w:rPr>
                <w:rFonts w:ascii="仿宋" w:hAnsi="仿宋" w:eastAsia="仿宋"/>
              </w:rPr>
            </w:pPr>
            <w:r>
              <w:rPr>
                <w:rFonts w:hint="eastAsia" w:ascii="仿宋" w:hAnsi="仿宋" w:eastAsia="仿宋"/>
              </w:rPr>
              <w:t>0-</w:t>
            </w:r>
            <w:r>
              <w:rPr>
                <w:rFonts w:ascii="仿宋" w:hAnsi="仿宋" w:eastAsia="仿宋"/>
              </w:rPr>
              <w:t>4</w:t>
            </w:r>
            <w:r>
              <w:rPr>
                <w:rFonts w:hint="eastAsia" w:ascii="仿宋" w:hAnsi="仿宋" w:eastAsia="仿宋"/>
              </w:rPr>
              <w:t>分</w:t>
            </w:r>
          </w:p>
        </w:tc>
      </w:tr>
      <w:tr w14:paraId="0B4B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7" w:hRule="exact"/>
          <w:jc w:val="center"/>
        </w:trPr>
        <w:tc>
          <w:tcPr>
            <w:tcW w:w="756" w:type="dxa"/>
            <w:vAlign w:val="center"/>
          </w:tcPr>
          <w:p w14:paraId="741FE674">
            <w:pPr>
              <w:spacing w:line="240" w:lineRule="exact"/>
              <w:jc w:val="center"/>
              <w:rPr>
                <w:rFonts w:ascii="仿宋" w:hAnsi="仿宋" w:eastAsia="仿宋"/>
              </w:rPr>
            </w:pPr>
            <w:r>
              <w:rPr>
                <w:rFonts w:ascii="仿宋" w:hAnsi="仿宋" w:eastAsia="仿宋"/>
              </w:rPr>
              <w:t>5</w:t>
            </w:r>
          </w:p>
        </w:tc>
        <w:tc>
          <w:tcPr>
            <w:tcW w:w="2693" w:type="dxa"/>
            <w:vAlign w:val="center"/>
          </w:tcPr>
          <w:p w14:paraId="06D8DDB1">
            <w:pPr>
              <w:spacing w:line="380" w:lineRule="exact"/>
              <w:ind w:firstLine="420" w:firstLineChars="200"/>
              <w:rPr>
                <w:rFonts w:ascii="仿宋" w:hAnsi="仿宋" w:eastAsia="仿宋"/>
              </w:rPr>
            </w:pPr>
            <w:r>
              <w:rPr>
                <w:rFonts w:hint="eastAsia" w:ascii="仿宋" w:hAnsi="仿宋" w:eastAsia="仿宋"/>
              </w:rPr>
              <w:t>安全实施方案</w:t>
            </w:r>
          </w:p>
        </w:tc>
        <w:tc>
          <w:tcPr>
            <w:tcW w:w="993" w:type="dxa"/>
            <w:vAlign w:val="center"/>
          </w:tcPr>
          <w:p w14:paraId="48BD71FE">
            <w:pPr>
              <w:spacing w:line="380" w:lineRule="exact"/>
              <w:jc w:val="center"/>
              <w:rPr>
                <w:rFonts w:ascii="仿宋" w:hAnsi="仿宋" w:eastAsia="仿宋"/>
              </w:rPr>
            </w:pPr>
            <w:r>
              <w:rPr>
                <w:rFonts w:ascii="仿宋" w:hAnsi="仿宋" w:eastAsia="仿宋"/>
              </w:rPr>
              <w:t>4</w:t>
            </w:r>
            <w:r>
              <w:rPr>
                <w:rFonts w:hint="eastAsia" w:ascii="仿宋" w:hAnsi="仿宋" w:eastAsia="仿宋"/>
              </w:rPr>
              <w:t>分</w:t>
            </w:r>
          </w:p>
        </w:tc>
        <w:tc>
          <w:tcPr>
            <w:tcW w:w="3685" w:type="dxa"/>
            <w:vAlign w:val="center"/>
          </w:tcPr>
          <w:p w14:paraId="26CAFAF0">
            <w:pPr>
              <w:tabs>
                <w:tab w:val="left" w:pos="1177"/>
              </w:tabs>
              <w:spacing w:line="240" w:lineRule="exact"/>
              <w:rPr>
                <w:rFonts w:ascii="仿宋" w:hAnsi="仿宋" w:eastAsia="仿宋"/>
                <w:sz w:val="20"/>
                <w:szCs w:val="18"/>
              </w:rPr>
            </w:pPr>
            <w:r>
              <w:rPr>
                <w:rFonts w:hint="eastAsia" w:ascii="仿宋" w:hAnsi="仿宋" w:eastAsia="仿宋"/>
                <w:sz w:val="20"/>
                <w:szCs w:val="18"/>
              </w:rPr>
              <w:t>制定针对本项目实施中采取的安全措施，制定具体的安全作业流程，明确安全责任编制详细的得</w:t>
            </w:r>
            <w:r>
              <w:rPr>
                <w:rFonts w:ascii="仿宋" w:hAnsi="仿宋" w:eastAsia="仿宋"/>
                <w:sz w:val="20"/>
                <w:szCs w:val="18"/>
              </w:rPr>
              <w:t>4-3</w:t>
            </w:r>
            <w:r>
              <w:rPr>
                <w:rFonts w:hint="eastAsia" w:ascii="仿宋" w:hAnsi="仿宋" w:eastAsia="仿宋"/>
                <w:sz w:val="20"/>
                <w:szCs w:val="18"/>
              </w:rPr>
              <w:t>分，一般得</w:t>
            </w:r>
            <w:r>
              <w:rPr>
                <w:rFonts w:ascii="仿宋" w:hAnsi="仿宋" w:eastAsia="仿宋"/>
                <w:sz w:val="20"/>
                <w:szCs w:val="18"/>
              </w:rPr>
              <w:t>2-1</w:t>
            </w:r>
            <w:r>
              <w:rPr>
                <w:rFonts w:hint="eastAsia" w:ascii="仿宋" w:hAnsi="仿宋" w:eastAsia="仿宋"/>
                <w:sz w:val="20"/>
                <w:szCs w:val="18"/>
              </w:rPr>
              <w:t>分，方案不完善得0分。</w:t>
            </w:r>
          </w:p>
        </w:tc>
        <w:tc>
          <w:tcPr>
            <w:tcW w:w="1036" w:type="dxa"/>
            <w:vAlign w:val="center"/>
          </w:tcPr>
          <w:p w14:paraId="54097E9C">
            <w:pPr>
              <w:spacing w:line="380" w:lineRule="exact"/>
              <w:rPr>
                <w:rFonts w:ascii="仿宋" w:hAnsi="仿宋" w:eastAsia="仿宋"/>
              </w:rPr>
            </w:pPr>
            <w:r>
              <w:rPr>
                <w:rFonts w:hint="eastAsia" w:ascii="仿宋" w:hAnsi="仿宋" w:eastAsia="仿宋"/>
              </w:rPr>
              <w:t>0-</w:t>
            </w:r>
            <w:r>
              <w:rPr>
                <w:rFonts w:ascii="仿宋" w:hAnsi="仿宋" w:eastAsia="仿宋"/>
              </w:rPr>
              <w:t>4</w:t>
            </w:r>
            <w:r>
              <w:rPr>
                <w:rFonts w:hint="eastAsia" w:ascii="仿宋" w:hAnsi="仿宋" w:eastAsia="仿宋"/>
              </w:rPr>
              <w:t>分</w:t>
            </w:r>
          </w:p>
        </w:tc>
      </w:tr>
      <w:tr w14:paraId="490D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exact"/>
          <w:jc w:val="center"/>
        </w:trPr>
        <w:tc>
          <w:tcPr>
            <w:tcW w:w="756" w:type="dxa"/>
            <w:vAlign w:val="center"/>
          </w:tcPr>
          <w:p w14:paraId="5A4DB182">
            <w:pPr>
              <w:spacing w:line="240" w:lineRule="exact"/>
              <w:jc w:val="center"/>
              <w:rPr>
                <w:rFonts w:ascii="仿宋" w:hAnsi="仿宋" w:eastAsia="仿宋"/>
              </w:rPr>
            </w:pPr>
            <w:r>
              <w:rPr>
                <w:rFonts w:ascii="仿宋" w:hAnsi="仿宋" w:eastAsia="仿宋"/>
              </w:rPr>
              <w:t>6</w:t>
            </w:r>
          </w:p>
        </w:tc>
        <w:tc>
          <w:tcPr>
            <w:tcW w:w="2693" w:type="dxa"/>
            <w:vAlign w:val="center"/>
          </w:tcPr>
          <w:p w14:paraId="719FA031">
            <w:pPr>
              <w:spacing w:line="380" w:lineRule="exact"/>
              <w:ind w:firstLine="420" w:firstLineChars="200"/>
              <w:rPr>
                <w:rFonts w:ascii="仿宋" w:hAnsi="仿宋" w:eastAsia="仿宋"/>
              </w:rPr>
            </w:pPr>
            <w:r>
              <w:rPr>
                <w:rFonts w:hint="eastAsia" w:ascii="仿宋" w:hAnsi="仿宋" w:eastAsia="仿宋"/>
              </w:rPr>
              <w:t>项目经理部人员构成及主要专业技术人员资历</w:t>
            </w:r>
          </w:p>
        </w:tc>
        <w:tc>
          <w:tcPr>
            <w:tcW w:w="993" w:type="dxa"/>
            <w:vAlign w:val="center"/>
          </w:tcPr>
          <w:p w14:paraId="13D15B15">
            <w:pPr>
              <w:spacing w:line="380" w:lineRule="exact"/>
              <w:jc w:val="center"/>
              <w:rPr>
                <w:rFonts w:ascii="仿宋" w:hAnsi="仿宋" w:eastAsia="仿宋"/>
              </w:rPr>
            </w:pPr>
            <w:r>
              <w:rPr>
                <w:rFonts w:ascii="仿宋" w:hAnsi="仿宋" w:eastAsia="仿宋"/>
              </w:rPr>
              <w:t>4</w:t>
            </w:r>
            <w:r>
              <w:rPr>
                <w:rFonts w:hint="eastAsia" w:ascii="仿宋" w:hAnsi="仿宋" w:eastAsia="仿宋"/>
              </w:rPr>
              <w:t>分</w:t>
            </w:r>
          </w:p>
        </w:tc>
        <w:tc>
          <w:tcPr>
            <w:tcW w:w="3685" w:type="dxa"/>
            <w:vAlign w:val="center"/>
          </w:tcPr>
          <w:p w14:paraId="61A00207">
            <w:pPr>
              <w:spacing w:line="240" w:lineRule="exact"/>
              <w:rPr>
                <w:rFonts w:ascii="仿宋" w:hAnsi="仿宋" w:eastAsia="仿宋"/>
                <w:sz w:val="20"/>
                <w:szCs w:val="18"/>
              </w:rPr>
            </w:pPr>
            <w:r>
              <w:rPr>
                <w:rFonts w:hint="eastAsia" w:ascii="仿宋" w:hAnsi="仿宋" w:eastAsia="仿宋"/>
                <w:spacing w:val="-20"/>
                <w:sz w:val="20"/>
                <w:szCs w:val="18"/>
              </w:rPr>
              <w:t>人员配置科学完善、相应证书齐全得</w:t>
            </w:r>
            <w:r>
              <w:rPr>
                <w:rFonts w:ascii="仿宋" w:hAnsi="仿宋" w:eastAsia="仿宋"/>
                <w:spacing w:val="-20"/>
                <w:sz w:val="20"/>
                <w:szCs w:val="18"/>
              </w:rPr>
              <w:t>4-3</w:t>
            </w:r>
            <w:r>
              <w:rPr>
                <w:rFonts w:hint="eastAsia" w:ascii="仿宋" w:hAnsi="仿宋" w:eastAsia="仿宋"/>
                <w:spacing w:val="-20"/>
                <w:sz w:val="20"/>
                <w:szCs w:val="18"/>
              </w:rPr>
              <w:t>分，</w:t>
            </w:r>
            <w:r>
              <w:rPr>
                <w:rFonts w:hint="eastAsia" w:ascii="仿宋" w:hAnsi="仿宋" w:eastAsia="仿宋"/>
                <w:spacing w:val="-4"/>
                <w:sz w:val="20"/>
                <w:szCs w:val="18"/>
              </w:rPr>
              <w:t>人员配置完善、相应证书较齐全得</w:t>
            </w:r>
            <w:r>
              <w:rPr>
                <w:rFonts w:ascii="仿宋" w:hAnsi="仿宋" w:eastAsia="仿宋"/>
                <w:spacing w:val="-4"/>
                <w:sz w:val="20"/>
                <w:szCs w:val="18"/>
              </w:rPr>
              <w:t>2-1</w:t>
            </w:r>
            <w:r>
              <w:rPr>
                <w:rFonts w:hint="eastAsia" w:ascii="仿宋" w:hAnsi="仿宋" w:eastAsia="仿宋"/>
                <w:spacing w:val="-4"/>
                <w:sz w:val="20"/>
                <w:szCs w:val="18"/>
              </w:rPr>
              <w:t>分，</w:t>
            </w:r>
            <w:r>
              <w:rPr>
                <w:rFonts w:hint="eastAsia" w:ascii="仿宋" w:hAnsi="仿宋" w:eastAsia="仿宋"/>
                <w:sz w:val="20"/>
                <w:szCs w:val="18"/>
              </w:rPr>
              <w:t>人员配置及证书欠完整得0分。</w:t>
            </w:r>
          </w:p>
        </w:tc>
        <w:tc>
          <w:tcPr>
            <w:tcW w:w="1036" w:type="dxa"/>
            <w:tcBorders>
              <w:bottom w:val="single" w:color="auto" w:sz="4" w:space="0"/>
            </w:tcBorders>
            <w:vAlign w:val="center"/>
          </w:tcPr>
          <w:p w14:paraId="527AB8BC">
            <w:pPr>
              <w:spacing w:line="380" w:lineRule="exact"/>
              <w:rPr>
                <w:rFonts w:ascii="仿宋" w:hAnsi="仿宋" w:eastAsia="仿宋"/>
              </w:rPr>
            </w:pPr>
            <w:r>
              <w:rPr>
                <w:rFonts w:hint="eastAsia" w:ascii="仿宋" w:hAnsi="仿宋" w:eastAsia="仿宋"/>
              </w:rPr>
              <w:t>0-</w:t>
            </w:r>
            <w:r>
              <w:rPr>
                <w:rFonts w:ascii="仿宋" w:hAnsi="仿宋" w:eastAsia="仿宋"/>
              </w:rPr>
              <w:t>4</w:t>
            </w:r>
            <w:r>
              <w:rPr>
                <w:rFonts w:hint="eastAsia" w:ascii="仿宋" w:hAnsi="仿宋" w:eastAsia="仿宋"/>
              </w:rPr>
              <w:t>分</w:t>
            </w:r>
          </w:p>
        </w:tc>
      </w:tr>
    </w:tbl>
    <w:p w14:paraId="0C89DCB3">
      <w:pPr>
        <w:spacing w:line="240" w:lineRule="exact"/>
        <w:rPr>
          <w:rFonts w:ascii="仿宋" w:hAnsi="仿宋" w:eastAsia="仿宋"/>
          <w:sz w:val="28"/>
          <w:szCs w:val="28"/>
        </w:rPr>
      </w:pPr>
    </w:p>
    <w:p w14:paraId="0F8D6A3B">
      <w:pPr>
        <w:spacing w:line="100" w:lineRule="exact"/>
        <w:ind w:firstLine="560" w:firstLineChars="200"/>
        <w:rPr>
          <w:rFonts w:ascii="仿宋" w:hAnsi="仿宋" w:eastAsia="仿宋"/>
          <w:sz w:val="28"/>
          <w:szCs w:val="28"/>
        </w:rPr>
      </w:pPr>
    </w:p>
    <w:p w14:paraId="67DF5468">
      <w:pPr>
        <w:spacing w:line="460" w:lineRule="exact"/>
        <w:rPr>
          <w:rFonts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ascii="仿宋" w:hAnsi="仿宋" w:eastAsia="仿宋"/>
          <w:sz w:val="28"/>
          <w:szCs w:val="28"/>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ascii="仿宋" w:hAnsi="仿宋" w:eastAsia="仿宋"/>
          <w:b/>
          <w:bCs/>
          <w:sz w:val="28"/>
          <w:szCs w:val="28"/>
        </w:rPr>
      </w:pPr>
      <w:r>
        <w:rPr>
          <w:rFonts w:hint="eastAsia" w:ascii="仿宋" w:hAnsi="仿宋" w:eastAsia="仿宋"/>
          <w:b/>
          <w:bCs/>
          <w:sz w:val="28"/>
          <w:szCs w:val="28"/>
        </w:rPr>
        <w:t>六、投标人资格审查文件</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3）安全生产许可证、有关鉴定材料、相关资质许可证；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5) 已完成业绩(包括完成情况和出现的重要质量问题及改进措施)；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519DF4DB">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投标保证金（人民币：</w:t>
      </w:r>
      <w:r>
        <w:rPr>
          <w:rFonts w:hint="eastAsia" w:ascii="仿宋" w:hAnsi="仿宋" w:eastAsia="仿宋" w:cs="仿宋"/>
          <w:sz w:val="28"/>
          <w:szCs w:val="28"/>
          <w:lang w:val="en-US" w:eastAsia="zh-CN"/>
        </w:rPr>
        <w:t>壹万元整</w:t>
      </w:r>
      <w:r>
        <w:rPr>
          <w:rFonts w:hint="eastAsia" w:ascii="仿宋" w:hAnsi="仿宋" w:eastAsia="仿宋"/>
          <w:sz w:val="28"/>
          <w:szCs w:val="28"/>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10</w:t>
      </w:r>
      <w:r>
        <w:rPr>
          <w:rFonts w:hint="eastAsia" w:ascii="仿宋" w:hAnsi="仿宋" w:eastAsia="仿宋" w:cs="仿宋"/>
          <w:sz w:val="28"/>
          <w:szCs w:val="28"/>
        </w:rPr>
        <w:t>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33C750D3">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ascii="仿宋" w:hAnsi="仿宋" w:eastAsia="仿宋"/>
          <w:sz w:val="28"/>
          <w:szCs w:val="28"/>
        </w:rPr>
        <w:t>月</w:t>
      </w:r>
      <w:r>
        <w:rPr>
          <w:rFonts w:hint="eastAsia" w:ascii="仿宋" w:hAnsi="仿宋" w:eastAsia="仿宋"/>
          <w:sz w:val="28"/>
          <w:szCs w:val="28"/>
          <w:lang w:val="en-US" w:eastAsia="zh-CN"/>
        </w:rPr>
        <w:t>16</w:t>
      </w:r>
      <w:r>
        <w:rPr>
          <w:rFonts w:ascii="仿宋" w:hAnsi="仿宋" w:eastAsia="仿宋"/>
          <w:sz w:val="28"/>
          <w:szCs w:val="28"/>
        </w:rPr>
        <w:t>日</w:t>
      </w:r>
      <w:r>
        <w:rPr>
          <w:rFonts w:hint="eastAsia" w:ascii="仿宋" w:hAnsi="仿宋" w:eastAsia="仿宋"/>
          <w:sz w:val="28"/>
          <w:szCs w:val="28"/>
        </w:rPr>
        <w:t>17:00时（北京时间）前到账，投标截止时间之后递交的投标保证金将被拒绝。公对公电汇转账方式缴纳（不接受现金及个人转账）。 最终以洛阳万基宏远电力有限公司财务所开收到凭证为准。</w:t>
      </w:r>
    </w:p>
    <w:p w14:paraId="00746B46">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188D19F2">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78290C63">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59CD2A00">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 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 投标人违反纪律与保密的有关规定；</w:t>
      </w:r>
    </w:p>
    <w:p w14:paraId="4D44811F">
      <w:pPr>
        <w:spacing w:line="460" w:lineRule="exact"/>
        <w:ind w:firstLine="560" w:firstLineChars="200"/>
        <w:rPr>
          <w:rFonts w:ascii="仿宋" w:hAnsi="仿宋" w:eastAsia="仿宋"/>
          <w:sz w:val="28"/>
          <w:szCs w:val="24"/>
        </w:rPr>
      </w:pPr>
      <w:r>
        <w:rPr>
          <w:rFonts w:hint="eastAsia" w:ascii="仿宋" w:hAnsi="仿宋" w:eastAsia="仿宋"/>
          <w:sz w:val="28"/>
          <w:szCs w:val="28"/>
        </w:rPr>
        <w:t>V.</w:t>
      </w:r>
      <w:r>
        <w:rPr>
          <w:rFonts w:hint="eastAsia" w:ascii="仿宋" w:hAnsi="仿宋" w:eastAsia="仿宋"/>
          <w:spacing w:val="-20"/>
          <w:sz w:val="28"/>
          <w:szCs w:val="28"/>
        </w:rPr>
        <w:t>若 中标人违约，则该笔保证金将予以扣除，并将投标人列入信用黑名单。</w:t>
      </w: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0DACE6FE">
      <w:pPr>
        <w:spacing w:line="520" w:lineRule="exact"/>
        <w:rPr>
          <w:rFonts w:ascii="仿宋" w:hAnsi="仿宋" w:eastAsia="仿宋"/>
          <w:sz w:val="28"/>
          <w:szCs w:val="24"/>
        </w:rPr>
      </w:pPr>
    </w:p>
    <w:p w14:paraId="3D2660BC">
      <w:pPr>
        <w:spacing w:line="500" w:lineRule="exact"/>
        <w:rPr>
          <w:rFonts w:ascii="仿宋" w:hAnsi="仿宋" w:eastAsia="仿宋"/>
          <w:sz w:val="28"/>
          <w:szCs w:val="28"/>
        </w:rPr>
      </w:pP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201D9B28">
      <w:pPr>
        <w:spacing w:line="500" w:lineRule="exact"/>
        <w:rPr>
          <w:rFonts w:ascii="仿宋" w:hAnsi="仿宋" w:eastAsia="仿宋"/>
          <w:sz w:val="28"/>
          <w:szCs w:val="28"/>
        </w:rPr>
      </w:pPr>
    </w:p>
    <w:p w14:paraId="088836C3">
      <w:pPr>
        <w:spacing w:line="500" w:lineRule="exact"/>
        <w:rPr>
          <w:rFonts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4332B76B">
      <w:pPr>
        <w:pStyle w:val="45"/>
        <w:spacing w:line="240" w:lineRule="auto"/>
        <w:jc w:val="both"/>
        <w:rPr>
          <w:rFonts w:ascii="仿宋" w:hAnsi="仿宋" w:eastAsia="仿宋" w:cs="仿宋_GB2312"/>
          <w:snapToGrid/>
          <w:color w:val="000000" w:themeColor="text1"/>
          <w:szCs w:val="28"/>
          <w14:textFill>
            <w14:solidFill>
              <w14:schemeClr w14:val="tx1"/>
            </w14:solidFill>
          </w14:textFill>
        </w:rPr>
      </w:pPr>
    </w:p>
    <w:p w14:paraId="1304390D">
      <w:pPr>
        <w:pStyle w:val="45"/>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45"/>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45"/>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5AFD80B3">
      <w:pPr>
        <w:rPr>
          <w:rFonts w:ascii="仿宋" w:hAnsi="仿宋" w:eastAsia="仿宋"/>
          <w:sz w:val="32"/>
          <w:szCs w:val="32"/>
        </w:rPr>
      </w:pPr>
    </w:p>
    <w:p w14:paraId="4DF7A352">
      <w:pPr>
        <w:rPr>
          <w:rFonts w:ascii="仿宋" w:hAnsi="仿宋" w:eastAsia="仿宋"/>
          <w:sz w:val="32"/>
          <w:szCs w:val="32"/>
        </w:rPr>
      </w:pPr>
    </w:p>
    <w:p w14:paraId="7CACAF43">
      <w:pPr>
        <w:rPr>
          <w:rFonts w:ascii="仿宋" w:hAnsi="仿宋" w:eastAsia="仿宋"/>
          <w:sz w:val="32"/>
          <w:szCs w:val="32"/>
        </w:rPr>
      </w:pPr>
    </w:p>
    <w:p w14:paraId="5C514665">
      <w:pPr>
        <w:rPr>
          <w:rFonts w:ascii="仿宋" w:hAnsi="仿宋" w:eastAsia="仿宋"/>
          <w:sz w:val="32"/>
          <w:szCs w:val="32"/>
        </w:rPr>
      </w:pPr>
    </w:p>
    <w:p w14:paraId="783EE49B">
      <w:pPr>
        <w:rPr>
          <w:rFonts w:ascii="仿宋" w:hAnsi="仿宋" w:eastAsia="仿宋"/>
          <w:sz w:val="32"/>
          <w:szCs w:val="32"/>
        </w:rPr>
      </w:pPr>
    </w:p>
    <w:p w14:paraId="6890E1D2">
      <w:pPr>
        <w:rPr>
          <w:rFonts w:ascii="仿宋" w:hAnsi="仿宋" w:eastAsia="仿宋"/>
          <w:sz w:val="32"/>
          <w:szCs w:val="32"/>
        </w:rPr>
      </w:pPr>
    </w:p>
    <w:p w14:paraId="205ADD9C">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0D79B015">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p>
    <w:p w14:paraId="38F740E4">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p>
    <w:p w14:paraId="34C1A1C8">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宏远电力#1、#2机组锅炉空预器高压水冲洗项目报价单</w:t>
      </w:r>
    </w:p>
    <w:p w14:paraId="1DE1EEA4">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75FE8EF8">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p>
    <w:p w14:paraId="437C4D4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49"/>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施工范围及要求</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投标总价（元）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11D9CBA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cs="Times New Roman"/>
                <w:sz w:val="28"/>
                <w:szCs w:val="28"/>
              </w:rPr>
            </w:pPr>
            <w:r>
              <w:rPr>
                <w:rFonts w:hint="eastAsia" w:ascii="仿宋" w:hAnsi="仿宋" w:eastAsia="仿宋" w:cs="Times New Roman"/>
                <w:sz w:val="28"/>
                <w:szCs w:val="28"/>
                <w:lang w:val="en-US" w:eastAsia="zh-CN"/>
              </w:rPr>
              <w:t>宏远电力#</w:t>
            </w:r>
            <w:r>
              <w:rPr>
                <w:rFonts w:hint="eastAsia" w:ascii="仿宋" w:hAnsi="仿宋" w:eastAsia="仿宋"/>
                <w:sz w:val="28"/>
                <w:szCs w:val="28"/>
                <w:lang w:val="en-US" w:eastAsia="zh-CN"/>
              </w:rPr>
              <w:t>1、</w:t>
            </w:r>
            <w:r>
              <w:rPr>
                <w:rFonts w:hint="eastAsia" w:ascii="仿宋" w:hAnsi="仿宋" w:eastAsia="仿宋" w:cs="Times New Roman"/>
                <w:sz w:val="28"/>
                <w:szCs w:val="28"/>
              </w:rPr>
              <w:t>#2机组锅</w:t>
            </w:r>
          </w:p>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Times New Roman"/>
                <w:sz w:val="28"/>
                <w:szCs w:val="28"/>
              </w:rPr>
              <w:t>炉空预器</w:t>
            </w:r>
            <w:r>
              <w:rPr>
                <w:rFonts w:hint="eastAsia" w:ascii="仿宋" w:hAnsi="仿宋" w:eastAsia="仿宋" w:cs="Times New Roman"/>
                <w:sz w:val="28"/>
                <w:szCs w:val="28"/>
                <w:lang w:val="en-US" w:eastAsia="zh-CN"/>
              </w:rPr>
              <w:t>高压水冲洗</w:t>
            </w:r>
            <w:r>
              <w:rPr>
                <w:rFonts w:hint="eastAsia" w:ascii="仿宋" w:hAnsi="仿宋" w:eastAsia="仿宋" w:cs="Times New Roman"/>
                <w:sz w:val="28"/>
                <w:szCs w:val="28"/>
              </w:rPr>
              <w:t>项目</w:t>
            </w: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次</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lang w:val="en-US" w:eastAsia="zh-CN"/>
        </w:rPr>
        <w:t>单次清洗</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w:t>
      </w:r>
      <w:r>
        <w:rPr>
          <w:rFonts w:hint="eastAsia" w:ascii="仿宋" w:hAnsi="仿宋" w:eastAsia="仿宋" w:cs="Times New Roman"/>
          <w:b w:val="0"/>
          <w:bCs w:val="0"/>
          <w:color w:val="auto"/>
          <w:sz w:val="30"/>
          <w:szCs w:val="30"/>
          <w:lang w:val="en-US" w:eastAsia="zh-CN"/>
        </w:rPr>
        <w:t>内施工完毕（工期不超过七天）。</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val="en-US" w:eastAsia="zh-CN"/>
        </w:rPr>
        <w:t>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w:t>
      </w:r>
      <w:bookmarkStart w:id="1" w:name="_GoBack"/>
      <w:bookmarkEnd w:id="1"/>
      <w:r>
        <w:rPr>
          <w:rFonts w:hint="eastAsia" w:ascii="仿宋" w:hAnsi="仿宋" w:eastAsia="仿宋" w:cs="Times New Roman"/>
          <w:b w:val="0"/>
          <w:bCs w:val="0"/>
          <w:color w:val="auto"/>
          <w:sz w:val="30"/>
          <w:szCs w:val="30"/>
          <w:lang w:val="en-US" w:eastAsia="zh-CN"/>
        </w:rPr>
        <w:t>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：按次验收、按次结算，冲洗完工冷态验收合格，机组启动后热态验收合格后，付单次合同价的</w:t>
      </w:r>
      <w:r>
        <w:rPr>
          <w:rFonts w:hint="eastAsia" w:ascii="仿宋" w:hAnsi="仿宋" w:eastAsia="仿宋" w:cs="Times New Roman"/>
          <w:b w:val="0"/>
          <w:bCs w:val="0"/>
          <w:color w:val="auto"/>
          <w:sz w:val="30"/>
          <w:szCs w:val="30"/>
          <w:lang w:val="en-US" w:eastAsia="zh-CN"/>
        </w:rPr>
        <w:t>90</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30"/>
          <w:szCs w:val="30"/>
          <w:lang w:val="en-US" w:eastAsia="zh-CN"/>
        </w:rPr>
        <w:t>预留10%在12个月内或本锅炉空预器下次冲洗前无息支付，以先到为准。</w:t>
      </w:r>
      <w:r>
        <w:rPr>
          <w:rFonts w:hint="eastAsia" w:ascii="仿宋" w:hAnsi="仿宋" w:eastAsia="仿宋" w:cs="Times New Roman"/>
          <w:b w:val="0"/>
          <w:bCs w:val="0"/>
          <w:color w:val="auto"/>
          <w:sz w:val="30"/>
          <w:szCs w:val="30"/>
          <w:lang w:eastAsia="zh-CN"/>
        </w:rPr>
        <w:t>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3CBE1B8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日   </w:t>
      </w:r>
    </w:p>
    <w:p w14:paraId="73E9ED0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lang w:val="en-US" w:eastAsia="zh-CN"/>
        </w:rPr>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53C9CD9E">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r>
        <w:rPr>
          <w:rFonts w:hint="eastAsia" w:ascii="仿宋" w:hAnsi="仿宋" w:eastAsia="仿宋" w:cs="宋体"/>
          <w:b/>
          <w:bCs/>
          <w:sz w:val="44"/>
          <w:szCs w:val="44"/>
        </w:rPr>
        <w:t>有限公司</w:t>
      </w:r>
    </w:p>
    <w:p w14:paraId="7FE207CD">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p>
    <w:p w14:paraId="1D5248C6">
      <w:pPr>
        <w:spacing w:line="380" w:lineRule="atLeast"/>
        <w:jc w:val="center"/>
        <w:rPr>
          <w:rFonts w:ascii="仿宋_GB2312" w:hAnsi="仿宋" w:eastAsia="仿宋_GB2312"/>
          <w:b/>
          <w:bCs/>
          <w:sz w:val="44"/>
          <w:szCs w:val="44"/>
        </w:rPr>
      </w:pPr>
    </w:p>
    <w:p w14:paraId="78BE8CCC">
      <w:pPr>
        <w:spacing w:line="380" w:lineRule="atLeast"/>
        <w:jc w:val="center"/>
        <w:rPr>
          <w:rFonts w:ascii="仿宋_GB2312" w:hAnsi="仿宋" w:eastAsia="仿宋_GB2312"/>
          <w:b/>
          <w:bCs/>
          <w:sz w:val="44"/>
          <w:szCs w:val="44"/>
        </w:rPr>
      </w:pPr>
    </w:p>
    <w:p w14:paraId="412C6924">
      <w:pPr>
        <w:jc w:val="center"/>
        <w:rPr>
          <w:rFonts w:ascii="仿宋_GB2312" w:hAnsi="仿宋" w:eastAsia="仿宋_GB2312"/>
          <w:b/>
          <w:sz w:val="72"/>
          <w:szCs w:val="72"/>
        </w:rPr>
      </w:pPr>
    </w:p>
    <w:p w14:paraId="5FCA6DCE">
      <w:pPr>
        <w:jc w:val="center"/>
        <w:rPr>
          <w:rFonts w:ascii="仿宋_GB2312" w:hAnsi="仿宋" w:eastAsia="仿宋_GB2312"/>
          <w:b/>
          <w:color w:val="000000"/>
          <w:sz w:val="72"/>
          <w:szCs w:val="72"/>
        </w:rPr>
      </w:pPr>
      <w:r>
        <w:rPr>
          <w:rFonts w:hint="eastAsia" w:ascii="仿宋_GB2312" w:hAnsi="仿宋" w:eastAsia="仿宋_GB2312"/>
          <w:b/>
          <w:color w:val="000000"/>
          <w:sz w:val="72"/>
          <w:szCs w:val="72"/>
        </w:rPr>
        <w:t>商 务 合 同</w:t>
      </w:r>
    </w:p>
    <w:p w14:paraId="73E36EF8">
      <w:pPr>
        <w:spacing w:line="560" w:lineRule="exact"/>
        <w:ind w:firstLine="2720" w:firstLineChars="850"/>
        <w:rPr>
          <w:rFonts w:ascii="仿宋_GB2312" w:hAnsi="仿宋" w:eastAsia="仿宋_GB2312"/>
          <w:color w:val="000000"/>
          <w:sz w:val="32"/>
          <w:szCs w:val="32"/>
        </w:rPr>
      </w:pPr>
      <w:r>
        <w:rPr>
          <w:rFonts w:hint="eastAsia" w:ascii="仿宋_GB2312" w:hAnsi="仿宋" w:eastAsia="仿宋_GB2312"/>
          <w:color w:val="000000"/>
          <w:sz w:val="32"/>
          <w:szCs w:val="32"/>
        </w:rPr>
        <w:t>合同编号：WJ-CG(202</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w:t>
      </w:r>
      <w:r>
        <w:rPr>
          <w:rFonts w:ascii="仿宋_GB2312" w:hAnsi="仿宋" w:eastAsia="仿宋_GB2312"/>
          <w:color w:val="000000"/>
          <w:sz w:val="32"/>
          <w:szCs w:val="32"/>
        </w:rPr>
        <w:t>***</w:t>
      </w:r>
    </w:p>
    <w:p w14:paraId="653B2207">
      <w:pPr>
        <w:jc w:val="center"/>
        <w:rPr>
          <w:rFonts w:ascii="仿宋_GB2312" w:hAnsi="仿宋" w:eastAsia="仿宋_GB2312"/>
          <w:b/>
          <w:color w:val="000000"/>
          <w:sz w:val="84"/>
          <w:szCs w:val="84"/>
        </w:rPr>
      </w:pPr>
    </w:p>
    <w:p w14:paraId="28955B35">
      <w:pPr>
        <w:spacing w:line="380" w:lineRule="atLeast"/>
        <w:ind w:firstLine="3242" w:firstLineChars="1544"/>
        <w:rPr>
          <w:rFonts w:ascii="仿宋_GB2312" w:hAnsi="仿宋" w:eastAsia="仿宋_GB2312"/>
          <w:color w:val="000000"/>
          <w:szCs w:val="28"/>
        </w:rPr>
      </w:pPr>
    </w:p>
    <w:p w14:paraId="04D8D2FB">
      <w:pPr>
        <w:spacing w:line="360" w:lineRule="auto"/>
        <w:rPr>
          <w:rFonts w:ascii="仿宋_GB2312" w:hAnsi="仿宋" w:eastAsia="仿宋_GB2312" w:cs="宋体"/>
          <w:color w:val="000000"/>
          <w:sz w:val="32"/>
          <w:szCs w:val="32"/>
        </w:rPr>
      </w:pPr>
    </w:p>
    <w:p w14:paraId="0D2288AE">
      <w:pPr>
        <w:spacing w:line="560" w:lineRule="exact"/>
        <w:ind w:firstLine="640" w:firstLineChars="200"/>
        <w:rPr>
          <w:rFonts w:ascii="仿宋_GB2312" w:hAnsi="仿宋" w:eastAsia="仿宋_GB2312" w:cs="宋体"/>
          <w:color w:val="000000"/>
          <w:sz w:val="32"/>
          <w:szCs w:val="32"/>
        </w:rPr>
      </w:pPr>
    </w:p>
    <w:p w14:paraId="00E2361C">
      <w:pPr>
        <w:spacing w:line="560" w:lineRule="exact"/>
        <w:ind w:firstLine="640" w:firstLineChars="200"/>
        <w:rPr>
          <w:rFonts w:ascii="仿宋_GB2312" w:hAnsi="仿宋" w:eastAsia="仿宋_GB2312" w:cs="宋体"/>
          <w:color w:val="000000"/>
          <w:sz w:val="32"/>
          <w:szCs w:val="32"/>
        </w:rPr>
      </w:pPr>
    </w:p>
    <w:p w14:paraId="01427ACF">
      <w:pPr>
        <w:spacing w:line="560" w:lineRule="exact"/>
        <w:ind w:firstLine="640" w:firstLineChars="200"/>
        <w:rPr>
          <w:rFonts w:ascii="仿宋_GB2312" w:hAnsi="仿宋" w:eastAsia="仿宋_GB2312" w:cs="宋体"/>
          <w:color w:val="000000"/>
          <w:sz w:val="32"/>
          <w:szCs w:val="32"/>
        </w:rPr>
      </w:pPr>
    </w:p>
    <w:p w14:paraId="6E6E183C">
      <w:pPr>
        <w:spacing w:line="560" w:lineRule="exact"/>
        <w:ind w:firstLine="640" w:firstLineChars="200"/>
        <w:jc w:val="center"/>
        <w:rPr>
          <w:rFonts w:ascii="仿宋_GB2312" w:hAnsi="仿宋" w:eastAsia="仿宋_GB2312" w:cs="宋体"/>
          <w:color w:val="000000"/>
          <w:sz w:val="32"/>
          <w:szCs w:val="32"/>
        </w:rPr>
      </w:pPr>
      <w:r>
        <w:rPr>
          <w:rFonts w:hint="eastAsia" w:ascii="仿宋_GB2312" w:hAnsi="仿宋" w:eastAsia="仿宋_GB2312" w:cs="宋体"/>
          <w:color w:val="000000"/>
          <w:sz w:val="32"/>
          <w:szCs w:val="32"/>
        </w:rPr>
        <w:t>甲方：*</w:t>
      </w:r>
      <w:r>
        <w:rPr>
          <w:rFonts w:ascii="仿宋_GB2312" w:hAnsi="仿宋" w:eastAsia="仿宋_GB2312" w:cs="宋体"/>
          <w:color w:val="000000"/>
          <w:sz w:val="32"/>
          <w:szCs w:val="32"/>
        </w:rPr>
        <w:t>*******************</w:t>
      </w:r>
    </w:p>
    <w:p w14:paraId="10A4B49D">
      <w:pPr>
        <w:spacing w:line="56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             乙方：*</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公司</w:t>
      </w:r>
    </w:p>
    <w:p w14:paraId="19B1AB1A">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签订时间：202</w:t>
      </w:r>
      <w:r>
        <w:rPr>
          <w:rFonts w:hint="eastAsia" w:ascii="仿宋_GB2312" w:hAnsi="仿宋" w:eastAsia="仿宋_GB2312" w:cs="宋体"/>
          <w:color w:val="000000"/>
          <w:sz w:val="32"/>
          <w:szCs w:val="32"/>
          <w:lang w:val="en-US" w:eastAsia="zh-CN"/>
        </w:rPr>
        <w:t>6</w:t>
      </w:r>
      <w:r>
        <w:rPr>
          <w:rFonts w:hint="eastAsia" w:ascii="仿宋_GB2312" w:hAnsi="仿宋" w:eastAsia="仿宋_GB2312" w:cs="宋体"/>
          <w:color w:val="000000"/>
          <w:sz w:val="32"/>
          <w:szCs w:val="32"/>
        </w:rPr>
        <w:t>年</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月</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日</w:t>
      </w:r>
    </w:p>
    <w:p w14:paraId="4FFDC389">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签订地点：新安县产业集聚区</w:t>
      </w:r>
    </w:p>
    <w:p w14:paraId="3E4B7CDA">
      <w:pPr>
        <w:tabs>
          <w:tab w:val="left" w:pos="8280"/>
        </w:tabs>
        <w:spacing w:line="500" w:lineRule="exact"/>
        <w:ind w:firstLine="560" w:firstLineChars="200"/>
        <w:rPr>
          <w:rFonts w:ascii="仿宋_GB2312" w:hAnsi="仿宋" w:eastAsia="仿宋_GB2312"/>
          <w:bCs/>
          <w:color w:val="000000"/>
          <w:sz w:val="28"/>
          <w:szCs w:val="28"/>
        </w:rPr>
      </w:pPr>
    </w:p>
    <w:p w14:paraId="7D130A48">
      <w:pPr>
        <w:tabs>
          <w:tab w:val="left" w:pos="8280"/>
        </w:tabs>
        <w:spacing w:line="500" w:lineRule="exact"/>
        <w:ind w:firstLine="560" w:firstLineChars="200"/>
        <w:rPr>
          <w:rFonts w:ascii="仿宋_GB2312" w:hAnsi="仿宋" w:eastAsia="仿宋_GB2312"/>
          <w:bCs/>
          <w:color w:val="000000"/>
          <w:sz w:val="28"/>
          <w:szCs w:val="28"/>
        </w:rPr>
      </w:pPr>
    </w:p>
    <w:p w14:paraId="5543365C">
      <w:pPr>
        <w:tabs>
          <w:tab w:val="left" w:pos="8280"/>
        </w:tabs>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就甲方*</w:t>
      </w:r>
      <w:r>
        <w:rPr>
          <w:rFonts w:ascii="仿宋_GB2312" w:hAnsi="仿宋" w:eastAsia="仿宋_GB2312"/>
          <w:bCs/>
          <w:color w:val="000000"/>
          <w:sz w:val="28"/>
          <w:szCs w:val="28"/>
        </w:rPr>
        <w:t>********</w:t>
      </w:r>
      <w:r>
        <w:rPr>
          <w:rFonts w:hint="eastAsia" w:ascii="仿宋_GB2312" w:hAnsi="仿宋" w:eastAsia="仿宋_GB2312"/>
          <w:bCs/>
          <w:color w:val="000000"/>
          <w:sz w:val="28"/>
          <w:szCs w:val="28"/>
        </w:rPr>
        <w:t>事宜，甲乙双方本着平等互利的原则，经友好协商，同意按如下条款签订本合同。</w:t>
      </w:r>
    </w:p>
    <w:p w14:paraId="0E894E3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448AC2A3">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1、“合同”指甲方和乙方（以下简称合同双方）已达成的协议，即由双方签订的合同中的文件，包括技术协议、所有的附件、附录和组成合同部分的所有其它文件。</w:t>
      </w:r>
    </w:p>
    <w:p w14:paraId="1A59D091">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2、“合同价格”指合同规定，在乙方全面正确的履行合同义务时甲方应支付给乙方的款项。</w:t>
      </w:r>
    </w:p>
    <w:p w14:paraId="02A30CFE">
      <w:pPr>
        <w:snapToGrid w:val="0"/>
        <w:spacing w:line="460" w:lineRule="exact"/>
        <w:ind w:firstLine="700" w:firstLineChars="250"/>
        <w:rPr>
          <w:rFonts w:ascii="仿宋_GB2312" w:hAnsi="仿宋" w:eastAsia="仿宋_GB2312"/>
          <w:bCs/>
          <w:sz w:val="28"/>
          <w:szCs w:val="28"/>
        </w:rPr>
      </w:pPr>
      <w:r>
        <w:rPr>
          <w:rFonts w:hint="eastAsia" w:ascii="仿宋_GB2312" w:hAnsi="仿宋" w:eastAsia="仿宋_GB2312"/>
          <w:bCs/>
          <w:sz w:val="28"/>
          <w:szCs w:val="28"/>
        </w:rPr>
        <w:t>3、“**”指乙方按合同要求，须向甲方提供的**服务。</w:t>
      </w:r>
    </w:p>
    <w:p w14:paraId="4436163C">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4、“服务”指合同规定乙方须承担的**、技术协助、培训以及其它类似的售后服务义务。</w:t>
      </w:r>
    </w:p>
    <w:p w14:paraId="69FFCAD9">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5、“现场”指将要进行维修保养的设备所在地点，即：**公司现场。</w:t>
      </w:r>
    </w:p>
    <w:p w14:paraId="1515C98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6、“验收”指甲方依据合同所附技术协议书的规定接受维护保养所依据的程序和条件。</w:t>
      </w:r>
    </w:p>
    <w:p w14:paraId="7FE088E4">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2    大修范围</w:t>
      </w:r>
    </w:p>
    <w:p w14:paraId="63F09F0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1、项目名称：*</w:t>
      </w:r>
      <w:r>
        <w:rPr>
          <w:rFonts w:ascii="仿宋_GB2312" w:hAnsi="仿宋" w:eastAsia="仿宋_GB2312"/>
          <w:bCs/>
          <w:color w:val="000000"/>
          <w:sz w:val="28"/>
          <w:szCs w:val="28"/>
        </w:rPr>
        <w:t>****************</w:t>
      </w:r>
    </w:p>
    <w:p w14:paraId="211156F7">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1.1施工范围：详见技术协议书</w:t>
      </w:r>
    </w:p>
    <w:p w14:paraId="3141F488">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合同施工范围虽然在合同中有表述，但在执行过程中如发现有任何漏项和缺陷，在合同中并未列入而且确实是大修范围内应该有的并且是为了满足合同技术协议对合同设备的性能保证要求所必须的，是国家强制性要求必须的，均应由乙方负责将所缺的项目补上，所发生的费用由乙方负担。</w:t>
      </w:r>
    </w:p>
    <w:p w14:paraId="4FB77B78">
      <w:pPr>
        <w:snapToGrid w:val="0"/>
        <w:spacing w:line="60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4D089BCF">
      <w:pPr>
        <w:snapToGrid w:val="0"/>
        <w:spacing w:line="60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1、大修项目及价格：                        单位：元</w:t>
      </w:r>
    </w:p>
    <w:tbl>
      <w:tblPr>
        <w:tblStyle w:val="48"/>
        <w:tblW w:w="0" w:type="auto"/>
        <w:tblInd w:w="289" w:type="dxa"/>
        <w:tblLayout w:type="fixed"/>
        <w:tblCellMar>
          <w:top w:w="0" w:type="dxa"/>
          <w:left w:w="0" w:type="dxa"/>
          <w:bottom w:w="0" w:type="dxa"/>
          <w:right w:w="0" w:type="dxa"/>
        </w:tblCellMar>
      </w:tblPr>
      <w:tblGrid>
        <w:gridCol w:w="709"/>
        <w:gridCol w:w="2693"/>
        <w:gridCol w:w="1559"/>
        <w:gridCol w:w="709"/>
        <w:gridCol w:w="850"/>
        <w:gridCol w:w="1296"/>
        <w:gridCol w:w="1398"/>
      </w:tblGrid>
      <w:tr w14:paraId="3CF2C728">
        <w:tblPrEx>
          <w:tblCellMar>
            <w:top w:w="0" w:type="dxa"/>
            <w:left w:w="0" w:type="dxa"/>
            <w:bottom w:w="0" w:type="dxa"/>
            <w:right w:w="0" w:type="dxa"/>
          </w:tblCellMar>
        </w:tblPrEx>
        <w:trPr>
          <w:trHeight w:val="499" w:hRule="atLeast"/>
        </w:trPr>
        <w:tc>
          <w:tcPr>
            <w:tcW w:w="709" w:type="dxa"/>
            <w:tcBorders>
              <w:top w:val="single" w:color="auto" w:sz="4" w:space="0"/>
              <w:left w:val="single" w:color="auto" w:sz="4" w:space="0"/>
              <w:bottom w:val="single" w:color="auto" w:sz="4" w:space="0"/>
              <w:right w:val="single" w:color="auto" w:sz="4" w:space="0"/>
            </w:tcBorders>
            <w:vAlign w:val="center"/>
          </w:tcPr>
          <w:p w14:paraId="5E4E3FA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序号</w:t>
            </w:r>
          </w:p>
        </w:tc>
        <w:tc>
          <w:tcPr>
            <w:tcW w:w="2693" w:type="dxa"/>
            <w:tcBorders>
              <w:top w:val="single" w:color="auto" w:sz="4" w:space="0"/>
              <w:left w:val="nil"/>
              <w:bottom w:val="single" w:color="auto" w:sz="4" w:space="0"/>
              <w:right w:val="single" w:color="auto" w:sz="4" w:space="0"/>
            </w:tcBorders>
            <w:vAlign w:val="center"/>
          </w:tcPr>
          <w:p w14:paraId="7AEC88E9">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名称</w:t>
            </w:r>
          </w:p>
        </w:tc>
        <w:tc>
          <w:tcPr>
            <w:tcW w:w="1559" w:type="dxa"/>
            <w:tcBorders>
              <w:top w:val="single" w:color="auto" w:sz="4" w:space="0"/>
              <w:left w:val="nil"/>
              <w:bottom w:val="single" w:color="auto" w:sz="4" w:space="0"/>
              <w:right w:val="single" w:color="auto" w:sz="4" w:space="0"/>
            </w:tcBorders>
            <w:vAlign w:val="center"/>
          </w:tcPr>
          <w:p w14:paraId="5F4D4908">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型号</w:t>
            </w:r>
          </w:p>
        </w:tc>
        <w:tc>
          <w:tcPr>
            <w:tcW w:w="709" w:type="dxa"/>
            <w:tcBorders>
              <w:top w:val="single" w:color="auto" w:sz="4" w:space="0"/>
              <w:left w:val="nil"/>
              <w:bottom w:val="single" w:color="auto" w:sz="4" w:space="0"/>
              <w:right w:val="single" w:color="auto" w:sz="4" w:space="0"/>
            </w:tcBorders>
            <w:vAlign w:val="center"/>
          </w:tcPr>
          <w:p w14:paraId="32F79172">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单位</w:t>
            </w:r>
          </w:p>
        </w:tc>
        <w:tc>
          <w:tcPr>
            <w:tcW w:w="850" w:type="dxa"/>
            <w:tcBorders>
              <w:top w:val="single" w:color="auto" w:sz="4" w:space="0"/>
              <w:left w:val="nil"/>
              <w:bottom w:val="single" w:color="auto" w:sz="4" w:space="0"/>
              <w:right w:val="single" w:color="auto" w:sz="4" w:space="0"/>
            </w:tcBorders>
            <w:vAlign w:val="center"/>
          </w:tcPr>
          <w:p w14:paraId="5E939E93">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数量</w:t>
            </w:r>
          </w:p>
        </w:tc>
        <w:tc>
          <w:tcPr>
            <w:tcW w:w="1296" w:type="dxa"/>
            <w:tcBorders>
              <w:top w:val="single" w:color="auto" w:sz="4" w:space="0"/>
              <w:left w:val="nil"/>
              <w:bottom w:val="single" w:color="auto" w:sz="4" w:space="0"/>
              <w:right w:val="single" w:color="auto" w:sz="4" w:space="0"/>
            </w:tcBorders>
            <w:vAlign w:val="center"/>
          </w:tcPr>
          <w:p w14:paraId="60375746">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单价(元)</w:t>
            </w:r>
          </w:p>
        </w:tc>
        <w:tc>
          <w:tcPr>
            <w:tcW w:w="1398" w:type="dxa"/>
            <w:tcBorders>
              <w:top w:val="single" w:color="auto" w:sz="4" w:space="0"/>
              <w:left w:val="single" w:color="auto" w:sz="4" w:space="0"/>
              <w:bottom w:val="single" w:color="auto" w:sz="4" w:space="0"/>
              <w:right w:val="single" w:color="auto" w:sz="4" w:space="0"/>
            </w:tcBorders>
            <w:vAlign w:val="center"/>
          </w:tcPr>
          <w:p w14:paraId="461C0B8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总价(元)</w:t>
            </w:r>
          </w:p>
        </w:tc>
      </w:tr>
      <w:tr w14:paraId="2FABC495">
        <w:tblPrEx>
          <w:tblCellMar>
            <w:top w:w="0" w:type="dxa"/>
            <w:left w:w="0" w:type="dxa"/>
            <w:bottom w:w="0" w:type="dxa"/>
            <w:right w:w="0" w:type="dxa"/>
          </w:tblCellMar>
        </w:tblPrEx>
        <w:trPr>
          <w:trHeight w:val="485" w:hRule="atLeast"/>
        </w:trPr>
        <w:tc>
          <w:tcPr>
            <w:tcW w:w="709" w:type="dxa"/>
            <w:tcBorders>
              <w:top w:val="single" w:color="auto" w:sz="4" w:space="0"/>
              <w:left w:val="single" w:color="auto" w:sz="4" w:space="0"/>
              <w:bottom w:val="single" w:color="auto" w:sz="4" w:space="0"/>
              <w:right w:val="single" w:color="auto" w:sz="4" w:space="0"/>
            </w:tcBorders>
            <w:vAlign w:val="center"/>
          </w:tcPr>
          <w:p w14:paraId="48CF1B34">
            <w:pPr>
              <w:snapToGrid w:val="0"/>
              <w:spacing w:line="360" w:lineRule="auto"/>
              <w:ind w:firstLine="280" w:firstLineChars="100"/>
              <w:rPr>
                <w:rFonts w:ascii="仿宋_GB2312" w:hAnsi="仿宋" w:eastAsia="仿宋_GB2312"/>
                <w:bCs/>
                <w:color w:val="000000"/>
                <w:sz w:val="28"/>
                <w:szCs w:val="28"/>
              </w:rPr>
            </w:pPr>
            <w:r>
              <w:rPr>
                <w:rFonts w:hint="eastAsia" w:ascii="仿宋_GB2312" w:hAnsi="仿宋" w:eastAsia="仿宋_GB2312"/>
                <w:bCs/>
                <w:color w:val="000000"/>
                <w:sz w:val="28"/>
                <w:szCs w:val="28"/>
              </w:rPr>
              <w:t>1</w:t>
            </w:r>
          </w:p>
        </w:tc>
        <w:tc>
          <w:tcPr>
            <w:tcW w:w="2693" w:type="dxa"/>
            <w:tcBorders>
              <w:top w:val="single" w:color="auto" w:sz="4" w:space="0"/>
              <w:left w:val="nil"/>
              <w:bottom w:val="single" w:color="auto" w:sz="4" w:space="0"/>
              <w:right w:val="single" w:color="auto" w:sz="4" w:space="0"/>
            </w:tcBorders>
            <w:vAlign w:val="center"/>
          </w:tcPr>
          <w:p w14:paraId="4C537348">
            <w:pPr>
              <w:spacing w:line="360" w:lineRule="exact"/>
              <w:ind w:left="6720" w:hanging="6720" w:hangingChars="2400"/>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559" w:type="dxa"/>
            <w:tcBorders>
              <w:top w:val="single" w:color="auto" w:sz="4" w:space="0"/>
              <w:left w:val="nil"/>
              <w:bottom w:val="single" w:color="auto" w:sz="4" w:space="0"/>
              <w:right w:val="single" w:color="auto" w:sz="4" w:space="0"/>
            </w:tcBorders>
            <w:vAlign w:val="center"/>
          </w:tcPr>
          <w:p w14:paraId="387A5F62">
            <w:pPr>
              <w:jc w:val="center"/>
              <w:rPr>
                <w:rFonts w:ascii="仿宋_GB2312" w:hAnsi="仿宋" w:eastAsia="仿宋_GB2312" w:cs="宋体"/>
                <w:color w:val="000000"/>
                <w:sz w:val="28"/>
                <w:szCs w:val="28"/>
              </w:rPr>
            </w:pPr>
            <w:r>
              <w:rPr>
                <w:rFonts w:hint="eastAsia" w:ascii="仿宋_GB2312" w:hAnsi="仿宋" w:eastAsia="仿宋_GB2312" w:cs="宋体"/>
                <w:color w:val="000000"/>
                <w:sz w:val="24"/>
                <w:szCs w:val="24"/>
              </w:rPr>
              <w:t>详见技术协议</w:t>
            </w:r>
          </w:p>
        </w:tc>
        <w:tc>
          <w:tcPr>
            <w:tcW w:w="709" w:type="dxa"/>
            <w:tcBorders>
              <w:top w:val="single" w:color="auto" w:sz="4" w:space="0"/>
              <w:left w:val="nil"/>
              <w:bottom w:val="single" w:color="auto" w:sz="4" w:space="0"/>
              <w:right w:val="single" w:color="auto" w:sz="4" w:space="0"/>
            </w:tcBorders>
            <w:vAlign w:val="center"/>
          </w:tcPr>
          <w:p w14:paraId="49A9FE5B">
            <w:pPr>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台</w:t>
            </w:r>
          </w:p>
        </w:tc>
        <w:tc>
          <w:tcPr>
            <w:tcW w:w="850" w:type="dxa"/>
            <w:tcBorders>
              <w:top w:val="single" w:color="auto" w:sz="4" w:space="0"/>
              <w:left w:val="nil"/>
              <w:bottom w:val="single" w:color="auto" w:sz="4" w:space="0"/>
              <w:right w:val="single" w:color="auto" w:sz="4" w:space="0"/>
            </w:tcBorders>
            <w:vAlign w:val="center"/>
          </w:tcPr>
          <w:p w14:paraId="198FB50A">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296" w:type="dxa"/>
            <w:tcBorders>
              <w:top w:val="single" w:color="auto" w:sz="4" w:space="0"/>
              <w:left w:val="nil"/>
              <w:bottom w:val="single" w:color="auto" w:sz="4" w:space="0"/>
              <w:right w:val="single" w:color="auto" w:sz="4" w:space="0"/>
            </w:tcBorders>
            <w:vAlign w:val="center"/>
          </w:tcPr>
          <w:p w14:paraId="3920FB27">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c>
          <w:tcPr>
            <w:tcW w:w="1398" w:type="dxa"/>
            <w:tcBorders>
              <w:top w:val="single" w:color="auto" w:sz="4" w:space="0"/>
              <w:left w:val="single" w:color="auto" w:sz="4" w:space="0"/>
              <w:bottom w:val="single" w:color="auto" w:sz="4" w:space="0"/>
              <w:right w:val="single" w:color="auto" w:sz="4" w:space="0"/>
            </w:tcBorders>
            <w:vAlign w:val="center"/>
          </w:tcPr>
          <w:p w14:paraId="414FDBB0">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r>
      <w:tr w14:paraId="2701F23F">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6BA15334">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不含税单价：</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          税率：</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税额：</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w:t>
            </w:r>
          </w:p>
        </w:tc>
      </w:tr>
      <w:tr w14:paraId="5A8F0D5E">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10B71436">
            <w:pPr>
              <w:spacing w:line="360" w:lineRule="exact"/>
              <w:ind w:left="6720" w:hanging="6720" w:hangingChars="2400"/>
              <w:jc w:val="left"/>
              <w:rPr>
                <w:rFonts w:ascii="仿宋_GB2312" w:hAnsi="仿宋" w:eastAsia="仿宋_GB2312" w:cs="宋体"/>
                <w:color w:val="000000"/>
                <w:sz w:val="28"/>
                <w:szCs w:val="28"/>
              </w:rPr>
            </w:pPr>
            <w:r>
              <w:rPr>
                <w:rFonts w:hint="eastAsia" w:ascii="仿宋_GB2312" w:hAnsi="仿宋" w:eastAsia="仿宋_GB2312" w:cs="宋体"/>
                <w:color w:val="000000"/>
                <w:sz w:val="28"/>
                <w:szCs w:val="28"/>
              </w:rPr>
              <w:t>合计（人民币）大写：*</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元整                   ￥：</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.00元</w:t>
            </w:r>
          </w:p>
        </w:tc>
      </w:tr>
    </w:tbl>
    <w:p w14:paraId="3D00C05E">
      <w:pPr>
        <w:snapToGrid w:val="0"/>
        <w:spacing w:line="460" w:lineRule="exact"/>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2、本合同价格包括合同**费、协议包含的备件、专用工具、设计费、技术资料费、技术服务费、拆除费、安装费、调试费、培训费、质保期内的维护保养费、税费及与本合同有关的所有费用。</w:t>
      </w:r>
    </w:p>
    <w:p w14:paraId="60E09B3B">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3、上述合同价格为乙方一年期的大修费，不因任何因素的改变而改变，期限为202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w:t>
      </w:r>
    </w:p>
    <w:p w14:paraId="23B01268">
      <w:pPr>
        <w:tabs>
          <w:tab w:val="left" w:pos="540"/>
        </w:tabs>
        <w:snapToGrid w:val="0"/>
        <w:spacing w:line="460" w:lineRule="exact"/>
        <w:ind w:firstLine="2797" w:firstLineChars="995"/>
        <w:rPr>
          <w:rFonts w:ascii="仿宋_GB2312" w:hAnsi="宋体" w:eastAsia="仿宋_GB2312" w:cs="宋体"/>
          <w:color w:val="000000"/>
          <w:sz w:val="28"/>
          <w:szCs w:val="28"/>
        </w:rPr>
      </w:pPr>
      <w:r>
        <w:rPr>
          <w:rFonts w:hint="eastAsia" w:ascii="仿宋_GB2312" w:hAnsi="宋体" w:eastAsia="仿宋_GB2312"/>
          <w:b/>
          <w:color w:val="000000"/>
          <w:sz w:val="28"/>
          <w:szCs w:val="28"/>
        </w:rPr>
        <w:t xml:space="preserve">条  款 4     支  付    </w:t>
      </w:r>
    </w:p>
    <w:p w14:paraId="34BEEFCE">
      <w:pPr>
        <w:spacing w:line="460" w:lineRule="exact"/>
        <w:ind w:firstLine="420" w:firstLineChars="150"/>
        <w:rPr>
          <w:rFonts w:ascii="仿宋_GB2312" w:hAnsi="宋体" w:eastAsia="仿宋_GB2312" w:cs="宋体"/>
          <w:color w:val="FF0000"/>
          <w:sz w:val="28"/>
          <w:szCs w:val="28"/>
        </w:rPr>
      </w:pPr>
      <w:r>
        <w:rPr>
          <w:rFonts w:hint="eastAsia" w:ascii="仿宋_GB2312" w:hAnsi="宋体" w:eastAsia="仿宋_GB2312" w:cs="宋体"/>
          <w:color w:val="000000"/>
          <w:sz w:val="28"/>
          <w:szCs w:val="28"/>
        </w:rPr>
        <w:t>一、 合同总价的90%（即：</w:t>
      </w:r>
      <w:r>
        <w:rPr>
          <w:rFonts w:hint="eastAsia" w:ascii="仿宋_GB2312" w:hAnsi="宋体" w:eastAsia="仿宋_GB2312" w:cs="宋体"/>
          <w:color w:val="000000"/>
          <w:sz w:val="28"/>
          <w:szCs w:val="28"/>
          <w:u w:val="single"/>
        </w:rPr>
        <w:t xml:space="preserve">￥： </w:t>
      </w:r>
      <w:r>
        <w:rPr>
          <w:rFonts w:ascii="仿宋_GB2312" w:hAnsi="宋体" w:eastAsia="仿宋_GB2312" w:cs="宋体"/>
          <w:color w:val="000000"/>
          <w:sz w:val="28"/>
          <w:szCs w:val="28"/>
          <w:u w:val="single"/>
        </w:rPr>
        <w:t>****</w:t>
      </w:r>
      <w:r>
        <w:rPr>
          <w:rFonts w:hint="eastAsia" w:ascii="仿宋_GB2312" w:hAnsi="宋体" w:eastAsia="仿宋_GB2312" w:cs="宋体"/>
          <w:color w:val="000000"/>
          <w:sz w:val="28"/>
          <w:szCs w:val="28"/>
          <w:u w:val="single"/>
        </w:rPr>
        <w:t xml:space="preserve">.00元  </w:t>
      </w:r>
      <w:r>
        <w:rPr>
          <w:rFonts w:hint="eastAsia" w:ascii="仿宋_GB2312" w:hAnsi="宋体" w:eastAsia="仿宋_GB2312" w:cs="宋体"/>
          <w:color w:val="000000"/>
          <w:sz w:val="28"/>
          <w:szCs w:val="28"/>
        </w:rPr>
        <w:t>）在达到下列全部条件完整无误后，自甲方将发票验收入账后30天内</w:t>
      </w:r>
      <w:r>
        <w:rPr>
          <w:rFonts w:hint="eastAsia" w:ascii="仿宋_GB2312" w:hAnsi="宋体" w:eastAsia="仿宋_GB2312" w:cs="宋体"/>
          <w:sz w:val="28"/>
          <w:szCs w:val="28"/>
        </w:rPr>
        <w:t>支付：</w:t>
      </w:r>
    </w:p>
    <w:p w14:paraId="1C028B61">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ascii="仿宋_GB2312" w:hAnsi="宋体" w:eastAsia="仿宋_GB2312" w:cs="宋体"/>
          <w:sz w:val="28"/>
          <w:szCs w:val="28"/>
        </w:rPr>
        <w:t>*</w:t>
      </w:r>
      <w:r>
        <w:rPr>
          <w:rFonts w:hint="eastAsia" w:ascii="仿宋_GB2312" w:hAnsi="宋体" w:eastAsia="仿宋_GB2312" w:cs="宋体"/>
          <w:sz w:val="28"/>
          <w:szCs w:val="28"/>
        </w:rPr>
        <w:t>月</w:t>
      </w:r>
      <w:r>
        <w:rPr>
          <w:rFonts w:ascii="仿宋_GB2312" w:hAnsi="宋体" w:eastAsia="仿宋_GB2312" w:cs="宋体"/>
          <w:sz w:val="28"/>
          <w:szCs w:val="28"/>
        </w:rPr>
        <w:t>***</w:t>
      </w:r>
      <w:r>
        <w:rPr>
          <w:rFonts w:hint="eastAsia" w:ascii="仿宋_GB2312" w:hAnsi="宋体" w:eastAsia="仿宋_GB2312" w:cs="宋体"/>
          <w:sz w:val="28"/>
          <w:szCs w:val="28"/>
        </w:rPr>
        <w:t>日后***达到技术协议要求的标准，由甲方出具的设备验收合格报告。</w:t>
      </w:r>
    </w:p>
    <w:p w14:paraId="28A9BE0A">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 乙方向甲方开具合同总额的增值税发票（税率为</w:t>
      </w:r>
      <w:r>
        <w:rPr>
          <w:rFonts w:ascii="仿宋_GB2312" w:hAnsi="宋体" w:eastAsia="仿宋_GB2312" w:cs="宋体"/>
          <w:sz w:val="28"/>
          <w:szCs w:val="28"/>
        </w:rPr>
        <w:t>**</w:t>
      </w:r>
      <w:r>
        <w:rPr>
          <w:rFonts w:hint="eastAsia" w:ascii="仿宋_GB2312" w:hAnsi="宋体" w:eastAsia="仿宋_GB2312" w:cs="宋体"/>
          <w:sz w:val="28"/>
          <w:szCs w:val="28"/>
        </w:rPr>
        <w:t>%，若出现税务部门不认可的发票，一切责任由乙方承担）和合同总价90%的财务收据（即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元 </w:t>
      </w:r>
      <w:r>
        <w:rPr>
          <w:rFonts w:hint="eastAsia" w:ascii="仿宋_GB2312" w:hAnsi="宋体" w:eastAsia="仿宋_GB2312" w:cs="宋体"/>
          <w:sz w:val="28"/>
          <w:szCs w:val="28"/>
        </w:rPr>
        <w:t>）。</w:t>
      </w:r>
    </w:p>
    <w:p w14:paraId="12EC4925">
      <w:pPr>
        <w:spacing w:line="460" w:lineRule="exact"/>
        <w:ind w:firstLine="420" w:firstLineChars="150"/>
        <w:rPr>
          <w:rFonts w:ascii="仿宋_GB2312" w:hAnsi="宋体" w:eastAsia="仿宋_GB2312" w:cs="宋体"/>
          <w:sz w:val="28"/>
          <w:szCs w:val="28"/>
        </w:rPr>
      </w:pPr>
      <w:r>
        <w:rPr>
          <w:rFonts w:hint="eastAsia" w:ascii="仿宋_GB2312" w:hAnsi="宋体" w:eastAsia="仿宋_GB2312" w:cs="宋体"/>
          <w:sz w:val="28"/>
          <w:szCs w:val="28"/>
        </w:rPr>
        <w:t>二、 合同总价的10%（即：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）在达到下列全部条件完整无误后，自甲方收到发票后30天内支付：</w:t>
      </w:r>
    </w:p>
    <w:p w14:paraId="0DBEDD2C">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首保结束后出具验收合格报告之日起12个月质保期结束，达到技术协议要求的标准无质量异议，由甲方出具大修质量合格报告。</w:t>
      </w:r>
    </w:p>
    <w:p w14:paraId="6E379475">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2． 乙方向甲方开具合同总价10%的财务收据（即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）甲方支付余款</w:t>
      </w:r>
      <w:r>
        <w:rPr>
          <w:rFonts w:hint="eastAsia" w:ascii="仿宋_GB2312" w:hAnsi="宋体" w:eastAsia="仿宋_GB2312" w:cs="宋体"/>
          <w:color w:val="000000"/>
          <w:sz w:val="28"/>
          <w:szCs w:val="28"/>
        </w:rPr>
        <w:t>。</w:t>
      </w:r>
    </w:p>
    <w:p w14:paraId="65474489">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3</w:t>
      </w:r>
      <w:r>
        <w:rPr>
          <w:rFonts w:hint="eastAsia" w:ascii="仿宋_GB2312" w:hAnsi="宋体" w:eastAsia="仿宋_GB2312" w:cs="宋体"/>
          <w:sz w:val="28"/>
          <w:szCs w:val="28"/>
        </w:rPr>
        <w:t>．质保期内后续大修不再办理质保手续。</w:t>
      </w:r>
    </w:p>
    <w:p w14:paraId="7A1D3BAB">
      <w:pPr>
        <w:snapToGrid w:val="0"/>
        <w:spacing w:line="100" w:lineRule="exact"/>
        <w:rPr>
          <w:rFonts w:ascii="仿宋_GB2312" w:hAnsi="仿宋" w:eastAsia="仿宋_GB2312"/>
          <w:bCs/>
          <w:color w:val="000000"/>
          <w:sz w:val="28"/>
          <w:szCs w:val="28"/>
        </w:rPr>
      </w:pPr>
    </w:p>
    <w:p w14:paraId="4E8711A5">
      <w:pPr>
        <w:snapToGrid w:val="0"/>
        <w:spacing w:line="460" w:lineRule="exact"/>
        <w:jc w:val="center"/>
        <w:rPr>
          <w:rFonts w:ascii="仿宋_GB2312" w:hAnsi="仿宋" w:eastAsia="仿宋_GB2312"/>
          <w:bCs/>
          <w:color w:val="000000"/>
          <w:sz w:val="28"/>
          <w:szCs w:val="28"/>
        </w:rPr>
      </w:pPr>
      <w:r>
        <w:rPr>
          <w:rFonts w:hint="eastAsia" w:ascii="仿宋_GB2312" w:hAnsi="宋体" w:eastAsia="仿宋_GB2312"/>
          <w:b/>
          <w:color w:val="000000"/>
          <w:sz w:val="28"/>
          <w:szCs w:val="28"/>
        </w:rPr>
        <w:t>条  款 5    大修与调试</w:t>
      </w:r>
    </w:p>
    <w:p w14:paraId="2EBCD0F7">
      <w:pPr>
        <w:snapToGrid w:val="0"/>
        <w:spacing w:line="460" w:lineRule="exact"/>
        <w:ind w:firstLine="688" w:firstLineChars="246"/>
        <w:rPr>
          <w:rFonts w:ascii="仿宋_GB2312" w:hAnsi="仿宋" w:eastAsia="仿宋_GB2312"/>
          <w:bCs/>
          <w:color w:val="000000"/>
          <w:sz w:val="28"/>
          <w:szCs w:val="28"/>
        </w:rPr>
      </w:pPr>
      <w:r>
        <w:rPr>
          <w:rFonts w:hint="eastAsia" w:ascii="仿宋_GB2312" w:hAnsi="仿宋" w:eastAsia="仿宋_GB2312"/>
          <w:bCs/>
          <w:color w:val="000000"/>
          <w:sz w:val="28"/>
          <w:szCs w:val="28"/>
        </w:rPr>
        <w:t>1、乙方应指派力量充足技术熟练的技术人员到甲方现场负责对本合同的项目进行维修保养，并负责调试和对甲方人员进行操作及维修的技术培训。</w:t>
      </w:r>
    </w:p>
    <w:p w14:paraId="1CA96E65">
      <w:pPr>
        <w:snapToGrid w:val="0"/>
        <w:spacing w:line="460" w:lineRule="exact"/>
        <w:ind w:firstLine="688" w:firstLineChars="246"/>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w:t>
      </w:r>
      <w:r>
        <w:rPr>
          <w:rFonts w:hint="eastAsia" w:ascii="仿宋_GB2312" w:hAnsi="仿宋" w:eastAsia="仿宋_GB2312"/>
          <w:bCs/>
          <w:color w:val="000000"/>
          <w:spacing w:val="-20"/>
          <w:sz w:val="28"/>
          <w:szCs w:val="28"/>
        </w:rPr>
        <w:t>在大修过程中甲方应积极配合并提供一切有利于工程进度的方便。</w:t>
      </w:r>
    </w:p>
    <w:p w14:paraId="2AFCEA4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6   技术要求</w:t>
      </w:r>
    </w:p>
    <w:p w14:paraId="43B4EB4E">
      <w:pPr>
        <w:snapToGrid w:val="0"/>
        <w:spacing w:line="46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按照合同所附技术协议书执行（附后）。</w:t>
      </w:r>
    </w:p>
    <w:p w14:paraId="0EB3E1AF">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7   质量保证</w:t>
      </w:r>
    </w:p>
    <w:p w14:paraId="25E5C1F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乙方应保证其提供的大修及检测采用的是技术协议中规定的最佳材料和第一流的工艺，并在各个方面符合技术协议的质量、规格和性能要求。乙方应保证设备经过正确维护保养，在质量保证期内运转良好。在规定的质量保证期内，乙方应对由于大修服务设计、工艺技术和技术协议包含备件的缺陷而造成的任何缺陷或故障负责。出现上述情况，乙方应在收到甲方通知后3天内，免费负责修理或更换有缺陷的零部件或整机，并承担产生的所有费用，并赔偿因此给甲方造成的损失。如果在大修阶段由于乙方技术人员指导失误或乙方所供技术资料、图纸、名称、规格型号的错误、设备出现缺陷或损坏等事宜，乙方应免费负责修理或更换有缺陷的零部件或整机，乙方承担修补或更换部件及装运的全部费用，质保期相应的顺延。质保期外，大修项目出现质量问题，若确系设计、技术协议包含备件原因造成的，乙方应在24小时内免费处理，所需费用由乙方负担。</w:t>
      </w:r>
    </w:p>
    <w:p w14:paraId="7A4E7D2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2、合同项下大修及检测的质量保证期为自</w:t>
      </w:r>
      <w:r>
        <w:rPr>
          <w:rFonts w:hint="eastAsia" w:ascii="仿宋_GB2312" w:hAnsi="宋体" w:eastAsia="仿宋_GB2312"/>
          <w:sz w:val="28"/>
          <w:szCs w:val="28"/>
        </w:rPr>
        <w:t>首保合格出具验收合格证明之日起</w:t>
      </w:r>
      <w:r>
        <w:rPr>
          <w:rFonts w:hint="eastAsia" w:ascii="仿宋_GB2312" w:hAnsi="宋体" w:eastAsia="仿宋_GB2312"/>
          <w:bCs/>
          <w:sz w:val="28"/>
          <w:szCs w:val="28"/>
        </w:rPr>
        <w:t>12个月，乙方质保责任包含但不限于首保，应对合同期内及质保期内所有大修服务承担责任。</w:t>
      </w:r>
    </w:p>
    <w:p w14:paraId="30239D34">
      <w:pPr>
        <w:snapToGrid w:val="0"/>
        <w:spacing w:line="460" w:lineRule="exact"/>
        <w:ind w:firstLine="532" w:firstLineChars="190"/>
        <w:rPr>
          <w:rFonts w:ascii="仿宋_GB2312" w:hAnsi="宋体" w:eastAsia="仿宋_GB2312"/>
          <w:bCs/>
          <w:color w:val="000000"/>
          <w:sz w:val="28"/>
          <w:szCs w:val="28"/>
        </w:rPr>
      </w:pPr>
      <w:r>
        <w:rPr>
          <w:rFonts w:hint="eastAsia" w:ascii="仿宋_GB2312" w:hAnsi="宋体" w:eastAsia="仿宋_GB2312"/>
          <w:bCs/>
          <w:color w:val="000000"/>
          <w:sz w:val="28"/>
          <w:szCs w:val="28"/>
        </w:rPr>
        <w:t>3、乙方大修及检测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设备仍无法达到技术规范要求，双方协商，甲方有权自行处理并不承担任何责任，同时乙方应退还甲方付给乙方的所有款项，且赔偿由此给甲方造成的所有损失，并向甲方支付合同总额20%的违约金。若经协商甲方同意接受，每一项与技术附件</w:t>
      </w:r>
      <w:r>
        <w:rPr>
          <w:rFonts w:hint="eastAsia" w:ascii="仿宋_GB2312" w:hAnsi="宋体" w:eastAsia="仿宋_GB2312"/>
          <w:bCs/>
          <w:color w:val="000000"/>
          <w:spacing w:val="-20"/>
          <w:sz w:val="28"/>
          <w:szCs w:val="28"/>
        </w:rPr>
        <w:t>中指标要求不符的内容，由乙方向甲方支付合同总额的0.5%作为违约金。</w:t>
      </w:r>
    </w:p>
    <w:p w14:paraId="6152A689">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应保证大修服务不会引起任何第三方提出的侵权赔偿，如果出现第三方针对甲方使用乙方按照本合同提供的合同设备和技术文件的侵权诉讼，乙方应有独立的权利和责任自费辩护和解决这些问题，甲方不承担任何法律和经济责任。甲方应向乙方提供诉讼方面的必要信息。如给甲方造成损失，乙方应全额赔偿甲方的损失。</w:t>
      </w:r>
    </w:p>
    <w:p w14:paraId="3ACBBD05">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w:t>
      </w:r>
      <w:r>
        <w:rPr>
          <w:rFonts w:hint="eastAsia" w:ascii="仿宋_GB2312" w:eastAsia="仿宋_GB2312"/>
          <w:bCs/>
          <w:sz w:val="28"/>
          <w:szCs w:val="28"/>
        </w:rPr>
        <w:t>乙方保证大修符合本合同《技术协议》的规定。</w:t>
      </w:r>
    </w:p>
    <w:p w14:paraId="351F4E32">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6、乙方应保证所提供的技术资料必须是及时的、完整的、正确的，且能满足大修的调试、操作要求。</w:t>
      </w:r>
    </w:p>
    <w:p w14:paraId="0D07A4CA">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7、乙方保证协议中所规定的包含的备件，未经甲方书面同意，不得更改。选购的元器件应符合现行通用标准。</w:t>
      </w:r>
    </w:p>
    <w:p w14:paraId="79499DF0">
      <w:pPr>
        <w:snapToGrid w:val="0"/>
        <w:spacing w:line="100" w:lineRule="exact"/>
        <w:rPr>
          <w:rFonts w:ascii="仿宋_GB2312" w:hAnsi="宋体" w:eastAsia="仿宋_GB2312"/>
          <w:sz w:val="28"/>
          <w:szCs w:val="28"/>
        </w:rPr>
      </w:pPr>
    </w:p>
    <w:p w14:paraId="183D081C">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8   索  赔</w:t>
      </w:r>
    </w:p>
    <w:p w14:paraId="786CE0D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如果由于乙方责任，甲方提出索赔应及时通知乙方，乙方若有异议，在收到索赔通知单14天内提出复议，双方就此再次谈判。如果乙方在收到索赔通知后30天内未能予以答复，该索赔应视为已被乙方接受。若乙方未能在收到索赔通知后30天内或甲方同意的更长一些的时间内，按甲方同意的处理方式处理索赔事宜，甲方将从未付款中扣回索赔金额，同时保留进一步要求赔偿的权利。</w:t>
      </w:r>
    </w:p>
    <w:p w14:paraId="03FA09E0">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2、如属甲方使用不当造成损坏，乙方也有义务予以处理，备件费用由甲方承担。</w:t>
      </w:r>
    </w:p>
    <w:p w14:paraId="2A59765F">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3、因乙方大修问题造成事故的，所有责任由乙方承担，给甲方造成损失的，乙方应当赔偿。</w:t>
      </w:r>
    </w:p>
    <w:p w14:paraId="451EE37E">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4D0A2F7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5、乙方向甲方开具</w:t>
      </w:r>
      <w:r>
        <w:rPr>
          <w:rFonts w:ascii="仿宋_GB2312" w:hAnsi="宋体" w:eastAsia="仿宋_GB2312"/>
          <w:bCs/>
          <w:sz w:val="28"/>
          <w:szCs w:val="28"/>
        </w:rPr>
        <w:t>**</w:t>
      </w:r>
      <w:r>
        <w:rPr>
          <w:rFonts w:hint="eastAsia" w:ascii="仿宋_GB2312" w:hAnsi="宋体" w:eastAsia="仿宋_GB2312"/>
          <w:bCs/>
          <w:sz w:val="28"/>
          <w:szCs w:val="28"/>
        </w:rPr>
        <w:t>%的增值税发票，若出现税务部门不认可的情况，乙方应在接到甲方通知之日起7个工作日内予以更换，否则须向甲方支付合同总价20%的违约金，违约金可直接从未付款中扣除。</w:t>
      </w:r>
    </w:p>
    <w:p w14:paraId="1ACBC82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6、如果乙方未能按甲方通知的时间进行大修（不可抗力除外），在乙方同意支付核定损失额的条件下，甲方将同意延长交货期。核定损失额的支付将从未付款项中扣除。核定损失额比率为每逾期1天，按设备大修费用的0.5%计算，不满1天按1天计算，但是，核定损失额的支付不得超过迟交货物金额的10%。如果卖方在达到核定损失额的最高限额后仍不能大修，买方有权因乙方违约终止合同，而乙方仍有义务支付上述迟交核定损失金额。</w:t>
      </w:r>
    </w:p>
    <w:p w14:paraId="16C9D3BD">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2、若乙方延迟大修对买方造成严重影响，或因乙方的延迟导致甲方不需乙方大修，买方有权视具体情况解除部分或全部合同，卖方应向买</w:t>
      </w:r>
      <w:r>
        <w:rPr>
          <w:rFonts w:hint="eastAsia" w:ascii="仿宋_GB2312" w:hAnsi="宋体" w:eastAsia="仿宋_GB2312"/>
          <w:bCs/>
          <w:spacing w:val="-20"/>
          <w:sz w:val="28"/>
          <w:szCs w:val="28"/>
        </w:rPr>
        <w:t>方支付合同总金额10%的延迟大修违约金，并赔偿由此给甲方造成的损失</w:t>
      </w:r>
      <w:r>
        <w:rPr>
          <w:rFonts w:hint="eastAsia" w:ascii="仿宋_GB2312" w:hAnsi="宋体" w:eastAsia="仿宋_GB2312"/>
          <w:bCs/>
          <w:sz w:val="28"/>
          <w:szCs w:val="28"/>
        </w:rPr>
        <w:t>。</w:t>
      </w:r>
    </w:p>
    <w:p w14:paraId="57CCB826">
      <w:pPr>
        <w:snapToGrid w:val="0"/>
        <w:spacing w:line="100" w:lineRule="exact"/>
        <w:ind w:left="-2" w:leftChars="-1" w:firstLine="560" w:firstLineChars="200"/>
        <w:rPr>
          <w:rFonts w:ascii="仿宋_GB2312" w:hAnsi="宋体" w:eastAsia="仿宋_GB2312"/>
          <w:bCs/>
          <w:sz w:val="28"/>
          <w:szCs w:val="28"/>
        </w:rPr>
      </w:pPr>
    </w:p>
    <w:p w14:paraId="63C17660">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9   不可抗力</w:t>
      </w:r>
    </w:p>
    <w:p w14:paraId="0FE72249">
      <w:pPr>
        <w:snapToGrid w:val="0"/>
        <w:spacing w:line="460" w:lineRule="exact"/>
        <w:ind w:firstLine="560" w:firstLineChars="200"/>
        <w:rPr>
          <w:rFonts w:ascii="仿宋_GB2312" w:hAnsi="宋体" w:eastAsia="仿宋_GB2312"/>
          <w:bCs/>
          <w:spacing w:val="-20"/>
          <w:sz w:val="28"/>
          <w:szCs w:val="28"/>
        </w:rPr>
      </w:pPr>
      <w:r>
        <w:rPr>
          <w:rFonts w:hint="eastAsia" w:ascii="仿宋_GB2312" w:hAnsi="宋体" w:eastAsia="仿宋_GB2312"/>
          <w:bCs/>
          <w:sz w:val="28"/>
          <w:szCs w:val="28"/>
        </w:rPr>
        <w:t>1、签约双方任一方由于受不可抗力事件的影响而不能执行合同时，履行合同的期限应予以延长，其延长的期限应相当于事件所影响的时间。不可抗力事件系指甲乙双方在执行本合同中任何一方</w:t>
      </w:r>
      <w:r>
        <w:rPr>
          <w:rFonts w:hint="eastAsia" w:ascii="仿宋_GB2312" w:hAnsi="宋体" w:eastAsia="仿宋_GB2312"/>
          <w:bCs/>
          <w:spacing w:val="-20"/>
          <w:sz w:val="28"/>
          <w:szCs w:val="28"/>
        </w:rPr>
        <w:t>不能控制和不能预见的，诸如战争、严重火灾、洪水、台风、地震等。</w:t>
      </w:r>
    </w:p>
    <w:p w14:paraId="311B031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4526883">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10   合同争议解决的方式</w:t>
      </w:r>
    </w:p>
    <w:p w14:paraId="18805DA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1、凡与本合同有关而引起的一切争议，双方应首先通过友好协商解决，如经协商后仍不能达成协议时，双方选择向合同签订地人民法院提出诉讼解决争议。</w:t>
      </w:r>
    </w:p>
    <w:p w14:paraId="0F95B77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2、由上述过程发生的费用除法院判决另有规定外，应由败诉方承担。</w:t>
      </w:r>
    </w:p>
    <w:p w14:paraId="7DAB59D7">
      <w:pPr>
        <w:snapToGrid w:val="0"/>
        <w:spacing w:line="460" w:lineRule="exact"/>
        <w:ind w:firstLine="504" w:firstLineChars="180"/>
        <w:rPr>
          <w:rFonts w:ascii="仿宋_GB2312" w:hAnsi="仿宋" w:eastAsia="仿宋_GB2312"/>
          <w:bCs/>
          <w:color w:val="000000"/>
          <w:sz w:val="28"/>
          <w:szCs w:val="28"/>
        </w:rPr>
      </w:pPr>
      <w:r>
        <w:rPr>
          <w:rFonts w:hint="eastAsia" w:ascii="仿宋_GB2312" w:hAnsi="仿宋" w:eastAsia="仿宋_GB2312"/>
          <w:bCs/>
          <w:color w:val="000000"/>
          <w:sz w:val="28"/>
          <w:szCs w:val="28"/>
        </w:rPr>
        <w:t>3、在进行法院审理期间，除法院审理的部分外，合同其他部分仍应继续履行。</w:t>
      </w:r>
    </w:p>
    <w:p w14:paraId="31A28D9C">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11   适用法律</w:t>
      </w:r>
    </w:p>
    <w:p w14:paraId="441F60EE">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本合同应按中华人民共和国《民法典》及相关法律解释。</w:t>
      </w:r>
    </w:p>
    <w:p w14:paraId="02D65A57">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12    通知</w:t>
      </w:r>
    </w:p>
    <w:p w14:paraId="745460D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合同任何一方给另一方的通知都应以书面的形式发送，而另一方应以书面形式确认并发送到对方明确的地址。</w:t>
      </w:r>
    </w:p>
    <w:p w14:paraId="641422E0">
      <w:pPr>
        <w:snapToGrid w:val="0"/>
        <w:spacing w:line="100" w:lineRule="exact"/>
        <w:rPr>
          <w:rFonts w:ascii="仿宋_GB2312" w:hAnsi="宋体" w:eastAsia="仿宋_GB2312"/>
          <w:b/>
          <w:color w:val="000000"/>
          <w:sz w:val="28"/>
          <w:szCs w:val="28"/>
        </w:rPr>
      </w:pPr>
    </w:p>
    <w:p w14:paraId="738AC536">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13   合同生效</w:t>
      </w:r>
    </w:p>
    <w:p w14:paraId="2DBCA0A7">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1、本合同自双方签字盖章之日起生效，至双方履行完各自义务索赔完毕时终止。</w:t>
      </w:r>
    </w:p>
    <w:p w14:paraId="386C0035">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2、本合同一式八份，甲方执六份，乙方执二份。</w:t>
      </w:r>
    </w:p>
    <w:p w14:paraId="2250CD6B">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14    其它约定事项</w:t>
      </w:r>
    </w:p>
    <w:p w14:paraId="10E5456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1、合同所附技术协议书，与本合同具有同等法律效力。</w:t>
      </w:r>
    </w:p>
    <w:p w14:paraId="46A38D54">
      <w:pPr>
        <w:snapToGrid w:val="0"/>
        <w:spacing w:line="460" w:lineRule="exact"/>
        <w:ind w:firstLine="560" w:firstLineChars="200"/>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2、未</w:t>
      </w:r>
      <w:r>
        <w:rPr>
          <w:rFonts w:hint="eastAsia" w:ascii="仿宋_GB2312" w:hAnsi="仿宋" w:eastAsia="仿宋_GB2312"/>
          <w:bCs/>
          <w:color w:val="000000"/>
          <w:spacing w:val="-20"/>
          <w:sz w:val="28"/>
          <w:szCs w:val="28"/>
        </w:rPr>
        <w:t>经甲方书面同意，乙方不得将本合同权利义务转让给第三方。</w:t>
      </w:r>
    </w:p>
    <w:p w14:paraId="0B71A95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3、乙方大修、安装、调试人员应遵守甲方现场的各项规章制度并作好自我的安全防护措施，若由于自身原因造成不安全事件发生，一切责任由乙方承担。</w:t>
      </w:r>
    </w:p>
    <w:p w14:paraId="227AD9B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4、如果乙方破产或无清偿能力时，甲方可在任何时候以书面通知乙方终止合同。该终止合同将不损害或影响甲方已经采取或将要采取的补救措施的权利。</w:t>
      </w:r>
    </w:p>
    <w:p w14:paraId="5DFFB452">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5、在合同执行过程中,若出现商务合同与技术协议有冲突的情况,以本合同为执行标准.本合同未涉及的部分,以技术协议为执行标准。</w:t>
      </w:r>
    </w:p>
    <w:p w14:paraId="35B5A261">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6、乙方负责大修调试至满足技术协议及甲方使用要求。</w:t>
      </w:r>
    </w:p>
    <w:p w14:paraId="14232EFE">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7、未尽事宜，双方可签订补充协议。 </w:t>
      </w:r>
    </w:p>
    <w:p w14:paraId="4E05EAC5">
      <w:pPr>
        <w:snapToGrid w:val="0"/>
        <w:spacing w:line="460" w:lineRule="exact"/>
        <w:ind w:firstLine="422" w:firstLineChars="150"/>
        <w:rPr>
          <w:rFonts w:ascii="仿宋_GB2312" w:hAnsi="仿宋" w:eastAsia="仿宋_GB2312"/>
          <w:b/>
          <w:sz w:val="28"/>
          <w:szCs w:val="28"/>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175"/>
      </w:tblGrid>
      <w:tr w14:paraId="1F1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4487" w:type="dxa"/>
          </w:tcPr>
          <w:p w14:paraId="24CE924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甲方：*</w:t>
            </w:r>
            <w:r>
              <w:rPr>
                <w:rFonts w:ascii="仿宋" w:hAnsi="仿宋" w:eastAsia="仿宋" w:cs="仿宋"/>
                <w:bCs/>
                <w:sz w:val="28"/>
                <w:szCs w:val="28"/>
              </w:rPr>
              <w:t>************</w:t>
            </w:r>
            <w:r>
              <w:rPr>
                <w:rFonts w:hint="eastAsia" w:ascii="仿宋" w:hAnsi="仿宋" w:eastAsia="仿宋" w:cs="仿宋"/>
                <w:bCs/>
                <w:sz w:val="28"/>
                <w:szCs w:val="28"/>
              </w:rPr>
              <w:t>公司</w:t>
            </w:r>
          </w:p>
          <w:p w14:paraId="23CD8222">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地址：新安产业集聚区</w:t>
            </w:r>
          </w:p>
          <w:p w14:paraId="1E0626E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p>
          <w:p w14:paraId="6D0E0EA7">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开户行： </w:t>
            </w:r>
          </w:p>
          <w:p w14:paraId="4F550E1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账号：</w:t>
            </w:r>
          </w:p>
          <w:p w14:paraId="0D0B225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税号： </w:t>
            </w:r>
          </w:p>
          <w:p w14:paraId="7F301E3E">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c>
          <w:tcPr>
            <w:tcW w:w="5175" w:type="dxa"/>
          </w:tcPr>
          <w:p w14:paraId="74051FCA">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乙方：*</w:t>
            </w:r>
            <w:r>
              <w:rPr>
                <w:rFonts w:ascii="仿宋" w:hAnsi="仿宋" w:eastAsia="仿宋" w:cs="仿宋"/>
                <w:bCs/>
                <w:sz w:val="28"/>
                <w:szCs w:val="28"/>
              </w:rPr>
              <w:t>*********</w:t>
            </w:r>
            <w:r>
              <w:rPr>
                <w:rFonts w:hint="eastAsia" w:ascii="仿宋" w:hAnsi="仿宋" w:eastAsia="仿宋" w:cs="仿宋"/>
                <w:bCs/>
                <w:sz w:val="28"/>
                <w:szCs w:val="28"/>
              </w:rPr>
              <w:t xml:space="preserve">备有限公司      </w:t>
            </w:r>
          </w:p>
          <w:p w14:paraId="03A17E8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w:t>
            </w:r>
            <w:r>
              <w:rPr>
                <w:rFonts w:ascii="仿宋" w:hAnsi="仿宋" w:eastAsia="仿宋" w:cs="仿宋"/>
                <w:bCs/>
                <w:sz w:val="28"/>
                <w:szCs w:val="28"/>
              </w:rPr>
              <w:t>**********</w:t>
            </w:r>
          </w:p>
          <w:p w14:paraId="6580859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r>
              <w:rPr>
                <w:rFonts w:ascii="仿宋" w:hAnsi="仿宋" w:eastAsia="仿宋" w:cs="仿宋"/>
                <w:bCs/>
                <w:sz w:val="28"/>
                <w:szCs w:val="28"/>
              </w:rPr>
              <w:t>*****</w:t>
            </w:r>
            <w:r>
              <w:rPr>
                <w:rFonts w:hint="eastAsia" w:ascii="仿宋" w:hAnsi="仿宋" w:eastAsia="仿宋" w:cs="仿宋"/>
                <w:bCs/>
                <w:sz w:val="28"/>
                <w:szCs w:val="28"/>
              </w:rPr>
              <w:t xml:space="preserve">             </w:t>
            </w:r>
          </w:p>
          <w:p w14:paraId="0E90FB2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开户行：</w:t>
            </w:r>
          </w:p>
          <w:p w14:paraId="6B00853F">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帐号：</w:t>
            </w:r>
          </w:p>
          <w:p w14:paraId="0E04BFEB">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税号：</w:t>
            </w:r>
          </w:p>
          <w:p w14:paraId="674361ED">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r>
    </w:tbl>
    <w:p w14:paraId="5DC3BBF3">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4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34ADA48F">
      <w:pPr>
        <w:spacing w:line="460" w:lineRule="exact"/>
        <w:rPr>
          <w:rFonts w:hint="eastAsia" w:ascii="新宋体" w:hAnsi="新宋体" w:eastAsia="新宋体"/>
          <w:b/>
          <w:color w:val="000000"/>
          <w:sz w:val="44"/>
          <w:szCs w:val="44"/>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p>
    <w:p w14:paraId="2957BEEE">
      <w:pPr>
        <w:spacing w:before="240"/>
        <w:jc w:val="center"/>
        <w:rPr>
          <w:rFonts w:hint="eastAsia" w:ascii="仿宋" w:hAnsi="仿宋" w:eastAsia="仿宋" w:cs="仿宋"/>
          <w:b/>
          <w:color w:val="000000"/>
          <w:sz w:val="36"/>
          <w:szCs w:val="36"/>
        </w:rPr>
      </w:pPr>
      <w:r>
        <w:rPr>
          <w:rFonts w:hint="eastAsia" w:ascii="仿宋" w:hAnsi="仿宋" w:eastAsia="仿宋" w:cs="仿宋"/>
          <w:b/>
          <w:color w:val="000000"/>
          <w:sz w:val="36"/>
          <w:szCs w:val="36"/>
          <w:lang w:val="en-US" w:eastAsia="zh-CN"/>
        </w:rPr>
        <w:t>洛阳万基宏远电力</w:t>
      </w:r>
      <w:r>
        <w:rPr>
          <w:rFonts w:hint="eastAsia" w:ascii="仿宋" w:hAnsi="仿宋" w:eastAsia="仿宋" w:cs="仿宋"/>
          <w:b/>
          <w:color w:val="000000"/>
          <w:sz w:val="36"/>
          <w:szCs w:val="36"/>
        </w:rPr>
        <w:t>有限公司</w:t>
      </w:r>
    </w:p>
    <w:p w14:paraId="59CA2964">
      <w:pPr>
        <w:pStyle w:val="228"/>
        <w:jc w:val="center"/>
        <w:rPr>
          <w:rFonts w:hint="eastAsia" w:ascii="仿宋" w:hAnsi="仿宋" w:eastAsia="仿宋" w:cs="仿宋"/>
          <w:b/>
          <w:color w:val="000000"/>
          <w:sz w:val="36"/>
          <w:szCs w:val="36"/>
          <w:lang w:val="en-US" w:eastAsia="zh-CN"/>
        </w:rPr>
      </w:pPr>
      <w:r>
        <w:rPr>
          <w:rFonts w:hint="eastAsia" w:ascii="仿宋" w:hAnsi="仿宋" w:eastAsia="仿宋" w:cs="仿宋"/>
          <w:b/>
          <w:color w:val="000000"/>
          <w:sz w:val="36"/>
          <w:szCs w:val="36"/>
        </w:rPr>
        <w:t>#</w:t>
      </w:r>
      <w:r>
        <w:rPr>
          <w:rFonts w:hint="eastAsia" w:ascii="仿宋" w:hAnsi="仿宋" w:eastAsia="仿宋" w:cs="仿宋"/>
          <w:b/>
          <w:color w:val="000000"/>
          <w:sz w:val="36"/>
          <w:szCs w:val="36"/>
          <w:lang w:val="en-US" w:eastAsia="zh-CN"/>
        </w:rPr>
        <w:t>1、2</w:t>
      </w:r>
      <w:r>
        <w:rPr>
          <w:rFonts w:hint="eastAsia" w:ascii="仿宋" w:hAnsi="仿宋" w:eastAsia="仿宋" w:cs="仿宋"/>
          <w:b/>
          <w:color w:val="000000"/>
          <w:sz w:val="36"/>
          <w:szCs w:val="36"/>
        </w:rPr>
        <w:t>机组</w:t>
      </w:r>
      <w:r>
        <w:rPr>
          <w:rFonts w:hint="eastAsia" w:ascii="仿宋" w:hAnsi="仿宋" w:eastAsia="仿宋" w:cs="仿宋"/>
          <w:b/>
          <w:color w:val="000000"/>
          <w:sz w:val="36"/>
          <w:szCs w:val="36"/>
          <w:lang w:val="en-US" w:eastAsia="zh-CN"/>
        </w:rPr>
        <w:t>锅炉</w:t>
      </w:r>
      <w:r>
        <w:rPr>
          <w:rFonts w:hint="eastAsia" w:ascii="仿宋" w:hAnsi="仿宋" w:eastAsia="仿宋" w:cs="仿宋"/>
          <w:b/>
          <w:color w:val="000000"/>
          <w:sz w:val="36"/>
          <w:szCs w:val="36"/>
        </w:rPr>
        <w:t>空预器</w:t>
      </w:r>
      <w:r>
        <w:rPr>
          <w:rFonts w:hint="eastAsia" w:ascii="仿宋" w:hAnsi="仿宋" w:eastAsia="仿宋" w:cs="仿宋"/>
          <w:b/>
          <w:color w:val="000000"/>
          <w:sz w:val="36"/>
          <w:szCs w:val="36"/>
          <w:lang w:val="en-US" w:eastAsia="zh-CN"/>
        </w:rPr>
        <w:t>高压水冲洗</w:t>
      </w:r>
    </w:p>
    <w:p w14:paraId="2366BAB4">
      <w:pPr>
        <w:spacing w:before="240"/>
        <w:jc w:val="center"/>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招标技术规范书</w:t>
      </w:r>
    </w:p>
    <w:p w14:paraId="1A26BE24">
      <w:pPr>
        <w:widowControl/>
        <w:tabs>
          <w:tab w:val="center" w:pos="4649"/>
          <w:tab w:val="right" w:pos="9299"/>
        </w:tabs>
        <w:adjustRightInd w:val="0"/>
        <w:snapToGrid w:val="0"/>
        <w:spacing w:before="60" w:after="200" w:line="360" w:lineRule="auto"/>
        <w:ind w:firstLine="2530" w:firstLineChars="700"/>
        <w:jc w:val="both"/>
        <w:rPr>
          <w:rFonts w:hint="eastAsia" w:ascii="仿宋" w:hAnsi="仿宋" w:eastAsia="仿宋" w:cs="仿宋"/>
          <w:b/>
          <w:bCs/>
          <w:color w:val="000000"/>
          <w:kern w:val="0"/>
          <w:sz w:val="36"/>
          <w:szCs w:val="36"/>
          <w:highlight w:val="none"/>
          <w:lang w:val="en-US" w:eastAsia="zh-CN"/>
        </w:rPr>
      </w:pPr>
    </w:p>
    <w:p w14:paraId="223016C8">
      <w:pPr>
        <w:widowControl/>
        <w:tabs>
          <w:tab w:val="center" w:pos="4649"/>
          <w:tab w:val="right" w:pos="9299"/>
        </w:tabs>
        <w:adjustRightInd w:val="0"/>
        <w:snapToGrid w:val="0"/>
        <w:spacing w:before="60" w:after="200" w:line="360" w:lineRule="auto"/>
        <w:ind w:firstLine="2530" w:firstLineChars="700"/>
        <w:jc w:val="both"/>
        <w:rPr>
          <w:rFonts w:hint="eastAsia" w:ascii="仿宋" w:hAnsi="仿宋" w:eastAsia="仿宋" w:cs="仿宋"/>
          <w:b/>
          <w:bCs/>
          <w:color w:val="000000"/>
          <w:kern w:val="0"/>
          <w:sz w:val="36"/>
          <w:szCs w:val="36"/>
          <w:highlight w:val="none"/>
          <w:lang w:val="en-US" w:eastAsia="zh-CN"/>
        </w:rPr>
      </w:pPr>
    </w:p>
    <w:p w14:paraId="7336B319">
      <w:pPr>
        <w:widowControl/>
        <w:tabs>
          <w:tab w:val="center" w:pos="4649"/>
          <w:tab w:val="right" w:pos="9299"/>
        </w:tabs>
        <w:adjustRightInd w:val="0"/>
        <w:snapToGrid w:val="0"/>
        <w:spacing w:before="60" w:after="200" w:line="360" w:lineRule="auto"/>
        <w:ind w:firstLine="2530" w:firstLineChars="700"/>
        <w:jc w:val="both"/>
        <w:rPr>
          <w:rFonts w:hint="eastAsia" w:ascii="仿宋" w:hAnsi="仿宋" w:eastAsia="仿宋" w:cs="仿宋"/>
          <w:b/>
          <w:bCs/>
          <w:color w:val="000000"/>
          <w:kern w:val="0"/>
          <w:sz w:val="36"/>
          <w:szCs w:val="36"/>
          <w:highlight w:val="none"/>
          <w:lang w:val="en-US" w:eastAsia="zh-CN"/>
        </w:rPr>
      </w:pPr>
    </w:p>
    <w:p w14:paraId="26D6DECF">
      <w:pPr>
        <w:widowControl/>
        <w:tabs>
          <w:tab w:val="center" w:pos="4649"/>
          <w:tab w:val="right" w:pos="9299"/>
        </w:tabs>
        <w:adjustRightInd w:val="0"/>
        <w:snapToGrid w:val="0"/>
        <w:spacing w:before="60" w:after="200" w:line="360" w:lineRule="auto"/>
        <w:ind w:firstLine="2530" w:firstLineChars="700"/>
        <w:jc w:val="both"/>
        <w:rPr>
          <w:rFonts w:hint="eastAsia" w:ascii="仿宋" w:hAnsi="仿宋" w:eastAsia="仿宋" w:cs="仿宋"/>
          <w:b/>
          <w:bCs/>
          <w:color w:val="000000"/>
          <w:kern w:val="0"/>
          <w:sz w:val="36"/>
          <w:szCs w:val="36"/>
          <w:highlight w:val="none"/>
          <w:lang w:val="en-US" w:eastAsia="zh-CN"/>
        </w:rPr>
      </w:pPr>
      <w:r>
        <w:rPr>
          <w:rFonts w:hint="eastAsia" w:ascii="仿宋" w:hAnsi="仿宋" w:eastAsia="仿宋" w:cs="仿宋"/>
          <w:b/>
          <w:bCs/>
          <w:color w:val="000000"/>
          <w:kern w:val="0"/>
          <w:sz w:val="36"/>
          <w:szCs w:val="36"/>
          <w:highlight w:val="none"/>
          <w:lang w:val="en-US" w:eastAsia="zh-CN"/>
        </w:rPr>
        <w:t>批准：</w:t>
      </w:r>
    </w:p>
    <w:p w14:paraId="25FD91FD">
      <w:pPr>
        <w:widowControl/>
        <w:tabs>
          <w:tab w:val="center" w:pos="4649"/>
          <w:tab w:val="right" w:pos="9299"/>
        </w:tabs>
        <w:adjustRightInd w:val="0"/>
        <w:snapToGrid w:val="0"/>
        <w:spacing w:before="60" w:after="200" w:line="360" w:lineRule="auto"/>
        <w:ind w:firstLine="2530" w:firstLineChars="700"/>
        <w:jc w:val="both"/>
        <w:rPr>
          <w:rFonts w:hint="default" w:ascii="仿宋" w:hAnsi="仿宋" w:eastAsia="仿宋" w:cs="仿宋"/>
          <w:b/>
          <w:bCs/>
          <w:color w:val="000000"/>
          <w:kern w:val="0"/>
          <w:sz w:val="36"/>
          <w:szCs w:val="36"/>
          <w:highlight w:val="none"/>
          <w:lang w:val="en-US" w:eastAsia="zh-CN"/>
        </w:rPr>
      </w:pPr>
      <w:r>
        <w:rPr>
          <w:rFonts w:hint="eastAsia" w:ascii="仿宋" w:hAnsi="仿宋" w:eastAsia="仿宋" w:cs="仿宋"/>
          <w:b/>
          <w:bCs/>
          <w:color w:val="000000"/>
          <w:kern w:val="0"/>
          <w:sz w:val="36"/>
          <w:szCs w:val="36"/>
          <w:highlight w:val="none"/>
          <w:lang w:val="en-US" w:eastAsia="zh-CN"/>
        </w:rPr>
        <w:t>审定：</w:t>
      </w:r>
    </w:p>
    <w:p w14:paraId="1822A8A7">
      <w:pPr>
        <w:pStyle w:val="227"/>
        <w:widowControl/>
        <w:tabs>
          <w:tab w:val="center" w:pos="4649"/>
          <w:tab w:val="right" w:pos="9299"/>
        </w:tabs>
        <w:adjustRightInd w:val="0"/>
        <w:spacing w:after="200" w:line="360" w:lineRule="auto"/>
        <w:ind w:firstLine="2530" w:firstLineChars="700"/>
        <w:jc w:val="both"/>
        <w:rPr>
          <w:rFonts w:hint="eastAsia" w:ascii="仿宋" w:hAnsi="仿宋" w:eastAsia="仿宋" w:cs="仿宋"/>
          <w:b/>
          <w:bCs/>
          <w:color w:val="000000"/>
          <w:kern w:val="0"/>
          <w:sz w:val="36"/>
          <w:szCs w:val="36"/>
          <w:lang w:val="en-US" w:eastAsia="zh-CN"/>
        </w:rPr>
      </w:pPr>
      <w:r>
        <w:rPr>
          <w:rFonts w:hint="eastAsia" w:ascii="仿宋" w:hAnsi="仿宋" w:eastAsia="仿宋" w:cs="仿宋"/>
          <w:b/>
          <w:bCs/>
          <w:color w:val="000000"/>
          <w:kern w:val="0"/>
          <w:sz w:val="36"/>
          <w:szCs w:val="36"/>
          <w:lang w:val="en-US" w:eastAsia="zh-CN"/>
        </w:rPr>
        <w:t>审核：</w:t>
      </w:r>
    </w:p>
    <w:p w14:paraId="659A92D2">
      <w:pPr>
        <w:spacing w:line="360" w:lineRule="auto"/>
        <w:ind w:firstLine="2530" w:firstLineChars="700"/>
        <w:jc w:val="both"/>
        <w:rPr>
          <w:rFonts w:ascii="宋体" w:hAnsi="宋体" w:cs="Arial"/>
          <w:b/>
          <w:bCs/>
          <w:sz w:val="28"/>
          <w:szCs w:val="28"/>
        </w:rPr>
      </w:pPr>
      <w:r>
        <w:rPr>
          <w:rFonts w:hint="eastAsia" w:ascii="仿宋" w:hAnsi="仿宋" w:eastAsia="仿宋" w:cs="仿宋"/>
          <w:b/>
          <w:bCs/>
          <w:color w:val="000000"/>
          <w:kern w:val="0"/>
          <w:sz w:val="36"/>
          <w:szCs w:val="36"/>
          <w:lang w:val="en-US" w:eastAsia="zh-CN"/>
        </w:rPr>
        <w:t>编制：</w:t>
      </w:r>
    </w:p>
    <w:p w14:paraId="44FFC075">
      <w:pPr>
        <w:spacing w:line="360" w:lineRule="auto"/>
        <w:jc w:val="center"/>
        <w:rPr>
          <w:rFonts w:ascii="宋体" w:hAnsi="宋体" w:cs="Arial"/>
          <w:b/>
          <w:bCs/>
          <w:sz w:val="28"/>
          <w:szCs w:val="28"/>
        </w:rPr>
      </w:pPr>
    </w:p>
    <w:p w14:paraId="0B79F2C7">
      <w:pPr>
        <w:spacing w:line="360" w:lineRule="auto"/>
        <w:jc w:val="center"/>
        <w:rPr>
          <w:rFonts w:ascii="宋体" w:hAnsi="宋体" w:cs="Arial"/>
          <w:b/>
          <w:bCs/>
          <w:sz w:val="28"/>
          <w:szCs w:val="28"/>
        </w:rPr>
      </w:pPr>
    </w:p>
    <w:p w14:paraId="374FC46F">
      <w:pPr>
        <w:spacing w:line="360" w:lineRule="auto"/>
        <w:jc w:val="center"/>
        <w:rPr>
          <w:rFonts w:ascii="宋体" w:hAnsi="宋体" w:cs="Arial"/>
          <w:b/>
          <w:bCs/>
          <w:sz w:val="28"/>
          <w:szCs w:val="28"/>
        </w:rPr>
      </w:pPr>
    </w:p>
    <w:p w14:paraId="47FEBF94">
      <w:pPr>
        <w:spacing w:line="360" w:lineRule="auto"/>
        <w:jc w:val="center"/>
        <w:rPr>
          <w:rFonts w:ascii="宋体" w:hAnsi="宋体" w:cs="Arial"/>
          <w:b/>
          <w:bCs/>
          <w:sz w:val="28"/>
          <w:szCs w:val="28"/>
        </w:rPr>
      </w:pPr>
    </w:p>
    <w:p w14:paraId="518B4363">
      <w:pPr>
        <w:pStyle w:val="227"/>
        <w:widowControl/>
        <w:tabs>
          <w:tab w:val="center" w:pos="4649"/>
          <w:tab w:val="right" w:pos="9299"/>
        </w:tabs>
        <w:adjustRightInd w:val="0"/>
        <w:spacing w:after="200" w:line="360" w:lineRule="auto"/>
        <w:jc w:val="center"/>
        <w:rPr>
          <w:rFonts w:ascii="宋体" w:hAnsi="宋体" w:cs="Arial"/>
          <w:b/>
          <w:bCs/>
          <w:sz w:val="28"/>
          <w:szCs w:val="28"/>
        </w:rPr>
      </w:pPr>
      <w:r>
        <w:rPr>
          <w:rFonts w:hint="eastAsia" w:ascii="仿宋" w:hAnsi="仿宋" w:eastAsia="仿宋" w:cs="仿宋"/>
          <w:b/>
          <w:bCs/>
          <w:color w:val="000000"/>
          <w:kern w:val="0"/>
          <w:sz w:val="36"/>
          <w:szCs w:val="36"/>
          <w:lang w:val="en-US" w:eastAsia="zh-CN"/>
        </w:rPr>
        <w:t>洛阳万基宏远电力有限</w:t>
      </w:r>
      <w:r>
        <w:rPr>
          <w:rFonts w:hint="eastAsia" w:ascii="仿宋" w:hAnsi="仿宋" w:eastAsia="仿宋" w:cs="仿宋"/>
          <w:b/>
          <w:bCs/>
          <w:kern w:val="0"/>
          <w:sz w:val="36"/>
          <w:szCs w:val="36"/>
        </w:rPr>
        <w:t>公司</w:t>
      </w:r>
    </w:p>
    <w:p w14:paraId="3356B058">
      <w:pPr>
        <w:spacing w:line="360" w:lineRule="auto"/>
        <w:jc w:val="center"/>
        <w:rPr>
          <w:rFonts w:hint="eastAsia" w:ascii="仿宋" w:hAnsi="仿宋" w:eastAsia="仿宋" w:cs="仿宋"/>
          <w:color w:val="000000"/>
          <w:sz w:val="28"/>
          <w:szCs w:val="28"/>
        </w:rPr>
      </w:pPr>
      <w:r>
        <w:rPr>
          <w:rFonts w:hint="eastAsia" w:ascii="仿宋" w:hAnsi="仿宋" w:eastAsia="仿宋" w:cs="仿宋"/>
          <w:b/>
          <w:kern w:val="0"/>
          <w:sz w:val="28"/>
          <w:szCs w:val="28"/>
        </w:rPr>
        <w:t>二0二</w:t>
      </w:r>
      <w:r>
        <w:rPr>
          <w:rFonts w:hint="eastAsia" w:ascii="仿宋" w:hAnsi="仿宋" w:eastAsia="仿宋" w:cs="仿宋"/>
          <w:b/>
          <w:kern w:val="0"/>
          <w:sz w:val="28"/>
          <w:szCs w:val="28"/>
          <w:lang w:val="en-US" w:eastAsia="zh-CN"/>
        </w:rPr>
        <w:t>六</w:t>
      </w:r>
      <w:r>
        <w:rPr>
          <w:rFonts w:hint="eastAsia" w:ascii="仿宋" w:hAnsi="仿宋" w:eastAsia="仿宋" w:cs="仿宋"/>
          <w:b/>
          <w:kern w:val="0"/>
          <w:sz w:val="28"/>
          <w:szCs w:val="28"/>
        </w:rPr>
        <w:t>年</w:t>
      </w:r>
      <w:r>
        <w:rPr>
          <w:rFonts w:hint="eastAsia" w:ascii="仿宋" w:hAnsi="仿宋" w:eastAsia="仿宋" w:cs="仿宋"/>
          <w:b/>
          <w:kern w:val="0"/>
          <w:sz w:val="28"/>
          <w:szCs w:val="28"/>
          <w:lang w:val="en-US" w:eastAsia="zh-CN"/>
        </w:rPr>
        <w:t>七</w:t>
      </w:r>
      <w:r>
        <w:rPr>
          <w:rFonts w:hint="eastAsia" w:ascii="仿宋" w:hAnsi="仿宋" w:eastAsia="仿宋" w:cs="仿宋"/>
          <w:b/>
          <w:kern w:val="0"/>
          <w:sz w:val="28"/>
          <w:szCs w:val="28"/>
        </w:rPr>
        <w:t>月</w:t>
      </w:r>
    </w:p>
    <w:p w14:paraId="72CAC4C0">
      <w:pPr>
        <w:spacing w:line="360" w:lineRule="auto"/>
        <w:rPr>
          <w:rFonts w:hint="eastAsia" w:ascii="仿宋" w:hAnsi="仿宋" w:eastAsia="仿宋" w:cs="仿宋"/>
          <w:b/>
          <w:color w:val="000000"/>
          <w:sz w:val="24"/>
        </w:rPr>
      </w:pPr>
    </w:p>
    <w:p w14:paraId="7AE76927">
      <w:pPr>
        <w:spacing w:line="360" w:lineRule="auto"/>
        <w:rPr>
          <w:rFonts w:hint="eastAsia" w:ascii="仿宋" w:hAnsi="仿宋" w:eastAsia="仿宋" w:cs="仿宋"/>
          <w:b/>
          <w:color w:val="000000"/>
          <w:sz w:val="24"/>
        </w:rPr>
      </w:pPr>
      <w:r>
        <w:rPr>
          <w:rFonts w:hint="eastAsia" w:ascii="仿宋" w:hAnsi="仿宋" w:eastAsia="仿宋" w:cs="仿宋"/>
          <w:b/>
          <w:color w:val="000000"/>
          <w:sz w:val="24"/>
        </w:rPr>
        <w:t>1. 总则</w:t>
      </w:r>
    </w:p>
    <w:p w14:paraId="679EF955">
      <w:pPr>
        <w:widowControl/>
        <w:spacing w:line="360" w:lineRule="auto"/>
        <w:rPr>
          <w:rFonts w:hint="eastAsia" w:ascii="仿宋" w:hAnsi="仿宋" w:eastAsia="仿宋" w:cs="仿宋"/>
          <w:color w:val="000000"/>
          <w:sz w:val="24"/>
          <w:szCs w:val="24"/>
          <w:lang w:val="en-US" w:eastAsia="zh-CN"/>
        </w:rPr>
      </w:pPr>
      <w:r>
        <w:rPr>
          <w:rFonts w:hint="eastAsia" w:ascii="仿宋" w:hAnsi="仿宋" w:eastAsia="仿宋" w:cs="仿宋"/>
          <w:color w:val="000000"/>
          <w:sz w:val="24"/>
        </w:rPr>
        <w:t>1</w:t>
      </w:r>
      <w:r>
        <w:rPr>
          <w:rFonts w:hint="eastAsia" w:ascii="仿宋" w:hAnsi="仿宋" w:eastAsia="仿宋" w:cs="仿宋"/>
          <w:color w:val="000000"/>
          <w:sz w:val="24"/>
          <w:szCs w:val="24"/>
        </w:rPr>
        <w:t>.1 本规范书适用于</w:t>
      </w:r>
      <w:r>
        <w:rPr>
          <w:rFonts w:hint="eastAsia" w:ascii="仿宋" w:hAnsi="仿宋" w:eastAsia="仿宋" w:cs="仿宋"/>
          <w:color w:val="000000"/>
          <w:sz w:val="24"/>
          <w:szCs w:val="24"/>
          <w:lang w:val="en-US" w:eastAsia="zh-CN"/>
        </w:rPr>
        <w:t>洛阳万基宏远电力</w:t>
      </w:r>
      <w:r>
        <w:rPr>
          <w:rFonts w:hint="eastAsia" w:ascii="仿宋" w:hAnsi="仿宋" w:eastAsia="仿宋" w:cs="仿宋"/>
          <w:color w:val="000000"/>
          <w:sz w:val="24"/>
          <w:szCs w:val="24"/>
        </w:rPr>
        <w:t>有限公司#</w:t>
      </w:r>
      <w:r>
        <w:rPr>
          <w:rFonts w:hint="eastAsia" w:ascii="仿宋" w:hAnsi="仿宋" w:eastAsia="仿宋" w:cs="仿宋"/>
          <w:color w:val="000000"/>
          <w:sz w:val="24"/>
          <w:szCs w:val="24"/>
          <w:lang w:val="en-US" w:eastAsia="zh-CN"/>
        </w:rPr>
        <w:t>1、2</w:t>
      </w:r>
      <w:r>
        <w:rPr>
          <w:rFonts w:hint="eastAsia" w:ascii="仿宋" w:hAnsi="仿宋" w:eastAsia="仿宋" w:cs="仿宋"/>
          <w:color w:val="000000"/>
          <w:sz w:val="24"/>
          <w:szCs w:val="24"/>
        </w:rPr>
        <w:t>机组</w:t>
      </w:r>
      <w:r>
        <w:rPr>
          <w:rFonts w:hint="eastAsia" w:ascii="仿宋" w:hAnsi="仿宋" w:eastAsia="仿宋" w:cs="仿宋"/>
          <w:color w:val="000000"/>
          <w:sz w:val="24"/>
          <w:szCs w:val="24"/>
          <w:lang w:val="en-US" w:eastAsia="zh-CN"/>
        </w:rPr>
        <w:t>锅炉</w:t>
      </w:r>
      <w:r>
        <w:rPr>
          <w:rFonts w:hint="eastAsia" w:ascii="仿宋" w:hAnsi="仿宋" w:eastAsia="仿宋" w:cs="仿宋"/>
          <w:color w:val="000000"/>
          <w:sz w:val="24"/>
          <w:szCs w:val="24"/>
        </w:rPr>
        <w:t>空预器</w:t>
      </w:r>
      <w:r>
        <w:rPr>
          <w:rFonts w:hint="eastAsia" w:ascii="仿宋" w:hAnsi="仿宋" w:eastAsia="仿宋" w:cs="仿宋"/>
          <w:color w:val="000000"/>
          <w:sz w:val="24"/>
          <w:szCs w:val="24"/>
          <w:lang w:val="en-US" w:eastAsia="zh-CN"/>
        </w:rPr>
        <w:t>高压水冲洗长期委托（两年）</w:t>
      </w:r>
      <w:r>
        <w:rPr>
          <w:rFonts w:hint="eastAsia" w:ascii="仿宋" w:hAnsi="仿宋" w:eastAsia="仿宋" w:cs="仿宋"/>
          <w:color w:val="000000"/>
          <w:sz w:val="24"/>
          <w:szCs w:val="24"/>
        </w:rPr>
        <w:t>工作</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它规定了该工程施工过程中质量、工艺、安全等方面的技术要求。</w:t>
      </w:r>
    </w:p>
    <w:p w14:paraId="01C3C190">
      <w:pPr>
        <w:pStyle w:val="26"/>
        <w:tabs>
          <w:tab w:val="left" w:pos="540"/>
        </w:tabs>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1.2 本规范文件中提出的仅是最低的技术要求，并未规定所有的技术要求和适用标准，</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应提供满足本规范文件和所列标准要求的高质量的设计、设备及其相应的服务。对国家有关安全、消防、环保、劳动卫生等强制性标准，必须满足其要求。</w:t>
      </w:r>
    </w:p>
    <w:p w14:paraId="686C0745">
      <w:pPr>
        <w:spacing w:line="360" w:lineRule="auto"/>
        <w:rPr>
          <w:rFonts w:hint="eastAsia" w:ascii="仿宋" w:hAnsi="仿宋" w:eastAsia="仿宋" w:cs="仿宋"/>
          <w:color w:val="000000"/>
          <w:sz w:val="24"/>
        </w:rPr>
      </w:pPr>
      <w:r>
        <w:rPr>
          <w:rFonts w:hint="eastAsia" w:ascii="仿宋" w:hAnsi="仿宋" w:eastAsia="仿宋" w:cs="仿宋"/>
          <w:color w:val="000000"/>
          <w:sz w:val="24"/>
        </w:rPr>
        <w:t>1.3 如投标</w:t>
      </w:r>
      <w:r>
        <w:rPr>
          <w:rFonts w:hint="eastAsia" w:ascii="仿宋" w:hAnsi="仿宋" w:eastAsia="仿宋" w:cs="仿宋"/>
          <w:color w:val="000000"/>
          <w:sz w:val="24"/>
          <w:lang w:val="en-US" w:eastAsia="zh-CN"/>
        </w:rPr>
        <w:t>方</w:t>
      </w:r>
      <w:r>
        <w:rPr>
          <w:rFonts w:hint="eastAsia" w:ascii="仿宋" w:hAnsi="仿宋" w:eastAsia="仿宋" w:cs="仿宋"/>
          <w:color w:val="000000"/>
          <w:sz w:val="24"/>
        </w:rPr>
        <w:t>没有对本技术规范书提出书面偏差，</w:t>
      </w:r>
      <w:r>
        <w:rPr>
          <w:rFonts w:hint="eastAsia" w:ascii="仿宋" w:hAnsi="仿宋" w:eastAsia="仿宋" w:cs="仿宋"/>
          <w:color w:val="000000"/>
          <w:sz w:val="24"/>
          <w:lang w:eastAsia="zh-CN"/>
        </w:rPr>
        <w:t>招标方</w:t>
      </w:r>
      <w:r>
        <w:rPr>
          <w:rFonts w:hint="eastAsia" w:ascii="仿宋" w:hAnsi="仿宋" w:eastAsia="仿宋" w:cs="仿宋"/>
          <w:color w:val="000000"/>
          <w:sz w:val="24"/>
        </w:rPr>
        <w:t>则可认为</w:t>
      </w:r>
      <w:r>
        <w:rPr>
          <w:rFonts w:hint="eastAsia" w:ascii="仿宋" w:hAnsi="仿宋" w:eastAsia="仿宋" w:cs="仿宋"/>
          <w:color w:val="000000"/>
          <w:sz w:val="24"/>
          <w:lang w:eastAsia="zh-CN"/>
        </w:rPr>
        <w:t>投标方</w:t>
      </w:r>
      <w:r>
        <w:rPr>
          <w:rFonts w:hint="eastAsia" w:ascii="仿宋" w:hAnsi="仿宋" w:eastAsia="仿宋" w:cs="仿宋"/>
          <w:color w:val="000000"/>
          <w:sz w:val="24"/>
        </w:rPr>
        <w:t>完全接受和同意本技术规范书的要求，</w:t>
      </w:r>
      <w:r>
        <w:rPr>
          <w:rFonts w:hint="eastAsia" w:ascii="仿宋" w:hAnsi="仿宋" w:eastAsia="仿宋" w:cs="仿宋"/>
          <w:color w:val="000000"/>
          <w:sz w:val="24"/>
          <w:lang w:eastAsia="zh-CN"/>
        </w:rPr>
        <w:t>投标方</w:t>
      </w:r>
      <w:r>
        <w:rPr>
          <w:rFonts w:hint="eastAsia" w:ascii="仿宋" w:hAnsi="仿宋" w:eastAsia="仿宋" w:cs="仿宋"/>
          <w:bCs/>
          <w:color w:val="000000"/>
          <w:sz w:val="24"/>
        </w:rPr>
        <w:t>提供的产品及服务应完全满足本</w:t>
      </w:r>
      <w:r>
        <w:rPr>
          <w:rFonts w:hint="eastAsia" w:ascii="仿宋" w:hAnsi="仿宋" w:eastAsia="仿宋" w:cs="仿宋"/>
          <w:color w:val="000000"/>
          <w:sz w:val="24"/>
        </w:rPr>
        <w:t>技术规范书中</w:t>
      </w:r>
      <w:r>
        <w:rPr>
          <w:rFonts w:hint="eastAsia" w:ascii="仿宋" w:hAnsi="仿宋" w:eastAsia="仿宋" w:cs="仿宋"/>
          <w:bCs/>
          <w:color w:val="000000"/>
          <w:sz w:val="24"/>
        </w:rPr>
        <w:t>的要求。招标方有权提出因规程、规范和标准发生变化而产生的一些补充修改要求，投标方应遵守这些要求，且不另取费。</w:t>
      </w:r>
      <w:r>
        <w:rPr>
          <w:rFonts w:hint="eastAsia" w:ascii="仿宋" w:hAnsi="仿宋" w:eastAsia="仿宋" w:cs="仿宋"/>
          <w:bCs/>
          <w:color w:val="000000"/>
          <w:sz w:val="24"/>
          <w:lang w:eastAsia="zh-CN"/>
        </w:rPr>
        <w:t>投标方</w:t>
      </w:r>
      <w:r>
        <w:rPr>
          <w:rFonts w:hint="eastAsia" w:ascii="仿宋" w:hAnsi="仿宋" w:eastAsia="仿宋" w:cs="仿宋"/>
          <w:bCs/>
          <w:color w:val="000000"/>
          <w:sz w:val="24"/>
        </w:rPr>
        <w:t>如对本技术规范书中有异议，应以书面形式明确提出，偏差</w:t>
      </w:r>
      <w:r>
        <w:rPr>
          <w:rFonts w:hint="eastAsia" w:ascii="仿宋" w:hAnsi="仿宋" w:eastAsia="仿宋" w:cs="仿宋"/>
          <w:color w:val="000000"/>
          <w:sz w:val="24"/>
        </w:rPr>
        <w:t>(无论多少)都必须清楚地表示在投标文件附件中的差异表内，</w:t>
      </w:r>
      <w:r>
        <w:rPr>
          <w:rFonts w:hint="eastAsia" w:ascii="仿宋" w:hAnsi="仿宋" w:eastAsia="仿宋" w:cs="仿宋"/>
          <w:bCs/>
          <w:color w:val="000000"/>
          <w:sz w:val="24"/>
        </w:rPr>
        <w:t>在征得</w:t>
      </w:r>
      <w:r>
        <w:rPr>
          <w:rFonts w:hint="eastAsia" w:ascii="仿宋" w:hAnsi="仿宋" w:eastAsia="仿宋" w:cs="仿宋"/>
          <w:bCs/>
          <w:color w:val="000000"/>
          <w:sz w:val="24"/>
          <w:lang w:eastAsia="zh-CN"/>
        </w:rPr>
        <w:t>招标方</w:t>
      </w:r>
      <w:r>
        <w:rPr>
          <w:rFonts w:hint="eastAsia" w:ascii="仿宋" w:hAnsi="仿宋" w:eastAsia="仿宋" w:cs="仿宋"/>
          <w:bCs/>
          <w:color w:val="000000"/>
          <w:sz w:val="24"/>
        </w:rPr>
        <w:t>同意后，可对有关条文进行修改。如</w:t>
      </w:r>
      <w:r>
        <w:rPr>
          <w:rFonts w:hint="eastAsia" w:ascii="仿宋" w:hAnsi="仿宋" w:eastAsia="仿宋" w:cs="仿宋"/>
          <w:bCs/>
          <w:color w:val="000000"/>
          <w:sz w:val="24"/>
          <w:lang w:eastAsia="zh-CN"/>
        </w:rPr>
        <w:t>招标方</w:t>
      </w:r>
      <w:r>
        <w:rPr>
          <w:rFonts w:hint="eastAsia" w:ascii="仿宋" w:hAnsi="仿宋" w:eastAsia="仿宋" w:cs="仿宋"/>
          <w:bCs/>
          <w:color w:val="000000"/>
          <w:sz w:val="24"/>
        </w:rPr>
        <w:t>不同意修改，仍以</w:t>
      </w:r>
      <w:r>
        <w:rPr>
          <w:rFonts w:hint="eastAsia" w:ascii="仿宋" w:hAnsi="仿宋" w:eastAsia="仿宋" w:cs="仿宋"/>
          <w:bCs/>
          <w:color w:val="000000"/>
          <w:sz w:val="24"/>
          <w:lang w:eastAsia="zh-CN"/>
        </w:rPr>
        <w:t>招标方</w:t>
      </w:r>
      <w:r>
        <w:rPr>
          <w:rFonts w:hint="eastAsia" w:ascii="仿宋" w:hAnsi="仿宋" w:eastAsia="仿宋" w:cs="仿宋"/>
          <w:bCs/>
          <w:color w:val="000000"/>
          <w:sz w:val="24"/>
        </w:rPr>
        <w:t>意见为准。</w:t>
      </w:r>
    </w:p>
    <w:p w14:paraId="46596ADB">
      <w:pPr>
        <w:spacing w:line="360" w:lineRule="auto"/>
        <w:rPr>
          <w:rFonts w:hint="eastAsia" w:ascii="仿宋" w:hAnsi="仿宋" w:eastAsia="仿宋" w:cs="仿宋"/>
          <w:color w:val="000000"/>
          <w:sz w:val="24"/>
        </w:rPr>
      </w:pPr>
      <w:r>
        <w:rPr>
          <w:rFonts w:hint="eastAsia" w:ascii="仿宋" w:hAnsi="仿宋" w:eastAsia="仿宋" w:cs="仿宋"/>
          <w:color w:val="000000"/>
          <w:sz w:val="24"/>
        </w:rPr>
        <w:t>1.4 如果本技术规范书前后出现有不一致的描述，</w:t>
      </w:r>
      <w:r>
        <w:rPr>
          <w:rFonts w:hint="eastAsia" w:ascii="仿宋" w:hAnsi="仿宋" w:eastAsia="仿宋" w:cs="仿宋"/>
          <w:color w:val="000000"/>
          <w:sz w:val="24"/>
          <w:lang w:eastAsia="zh-CN"/>
        </w:rPr>
        <w:t>投标方</w:t>
      </w:r>
      <w:r>
        <w:rPr>
          <w:rFonts w:hint="eastAsia" w:ascii="仿宋" w:hAnsi="仿宋" w:eastAsia="仿宋" w:cs="仿宋"/>
          <w:color w:val="000000"/>
          <w:sz w:val="24"/>
        </w:rPr>
        <w:t>应在投标前提出澄清，未提出澄清的则以</w:t>
      </w:r>
      <w:r>
        <w:rPr>
          <w:rFonts w:hint="eastAsia" w:ascii="仿宋" w:hAnsi="仿宋" w:eastAsia="仿宋" w:cs="仿宋"/>
          <w:color w:val="000000"/>
          <w:sz w:val="24"/>
          <w:lang w:eastAsia="zh-CN"/>
        </w:rPr>
        <w:t>招标方</w:t>
      </w:r>
      <w:r>
        <w:rPr>
          <w:rFonts w:hint="eastAsia" w:ascii="仿宋" w:hAnsi="仿宋" w:eastAsia="仿宋" w:cs="仿宋"/>
          <w:color w:val="000000"/>
          <w:sz w:val="24"/>
        </w:rPr>
        <w:t>的解释为准，并以最有利于招标方的条款执行。</w:t>
      </w:r>
    </w:p>
    <w:p w14:paraId="770373CE">
      <w:pPr>
        <w:pStyle w:val="128"/>
        <w:tabs>
          <w:tab w:val="left" w:pos="480"/>
          <w:tab w:val="left" w:pos="1680"/>
        </w:tabs>
        <w:spacing w:line="360" w:lineRule="auto"/>
        <w:jc w:val="both"/>
        <w:rPr>
          <w:rFonts w:hint="eastAsia" w:ascii="仿宋" w:hAnsi="仿宋" w:eastAsia="仿宋" w:cs="仿宋"/>
          <w:color w:val="000000"/>
          <w:szCs w:val="24"/>
        </w:rPr>
      </w:pPr>
      <w:r>
        <w:rPr>
          <w:rFonts w:hint="eastAsia" w:ascii="仿宋" w:hAnsi="仿宋" w:eastAsia="仿宋" w:cs="仿宋"/>
          <w:color w:val="000000"/>
          <w:szCs w:val="24"/>
        </w:rPr>
        <w:t>1.5在签订合同之后，</w:t>
      </w:r>
      <w:r>
        <w:rPr>
          <w:rFonts w:hint="eastAsia" w:ascii="仿宋" w:hAnsi="仿宋" w:eastAsia="仿宋" w:cs="仿宋"/>
          <w:color w:val="000000"/>
          <w:szCs w:val="24"/>
          <w:lang w:eastAsia="zh-CN"/>
        </w:rPr>
        <w:t>招标方</w:t>
      </w:r>
      <w:r>
        <w:rPr>
          <w:rFonts w:hint="eastAsia" w:ascii="仿宋" w:hAnsi="仿宋" w:eastAsia="仿宋" w:cs="仿宋"/>
          <w:color w:val="000000"/>
          <w:szCs w:val="24"/>
        </w:rPr>
        <w:t>保留对本技术规范书中提出补充要求和修改的权力，</w:t>
      </w:r>
      <w:r>
        <w:rPr>
          <w:rFonts w:hint="eastAsia" w:ascii="仿宋" w:hAnsi="仿宋" w:eastAsia="仿宋" w:cs="仿宋"/>
          <w:color w:val="000000"/>
          <w:szCs w:val="24"/>
          <w:lang w:eastAsia="zh-CN"/>
        </w:rPr>
        <w:t>投标方</w:t>
      </w:r>
      <w:r>
        <w:rPr>
          <w:rFonts w:hint="eastAsia" w:ascii="仿宋" w:hAnsi="仿宋" w:eastAsia="仿宋" w:cs="仿宋"/>
          <w:color w:val="000000"/>
          <w:szCs w:val="24"/>
        </w:rPr>
        <w:t>应承诺予以配合。如提出修改，具体项目和条件由投标</w:t>
      </w:r>
      <w:r>
        <w:rPr>
          <w:rFonts w:hint="eastAsia" w:ascii="仿宋" w:hAnsi="仿宋" w:eastAsia="仿宋" w:cs="仿宋"/>
          <w:color w:val="000000"/>
          <w:spacing w:val="5"/>
          <w:szCs w:val="24"/>
        </w:rPr>
        <w:t>方</w:t>
      </w:r>
      <w:r>
        <w:rPr>
          <w:rFonts w:hint="eastAsia" w:ascii="仿宋" w:hAnsi="仿宋" w:eastAsia="仿宋" w:cs="仿宋"/>
          <w:color w:val="000000"/>
          <w:szCs w:val="24"/>
        </w:rPr>
        <w:t>、</w:t>
      </w:r>
      <w:r>
        <w:rPr>
          <w:rFonts w:hint="eastAsia" w:ascii="仿宋" w:hAnsi="仿宋" w:eastAsia="仿宋" w:cs="仿宋"/>
          <w:color w:val="000000"/>
          <w:szCs w:val="24"/>
          <w:lang w:eastAsia="zh-CN"/>
        </w:rPr>
        <w:t>招标方</w:t>
      </w:r>
      <w:r>
        <w:rPr>
          <w:rFonts w:hint="eastAsia" w:ascii="仿宋" w:hAnsi="仿宋" w:eastAsia="仿宋" w:cs="仿宋"/>
          <w:color w:val="000000"/>
          <w:szCs w:val="24"/>
        </w:rPr>
        <w:t>双方共同商定。</w:t>
      </w:r>
    </w:p>
    <w:p w14:paraId="7397B7A8">
      <w:pPr>
        <w:pStyle w:val="128"/>
        <w:tabs>
          <w:tab w:val="left" w:pos="480"/>
          <w:tab w:val="left" w:pos="1680"/>
        </w:tabs>
        <w:spacing w:line="360" w:lineRule="auto"/>
        <w:jc w:val="both"/>
        <w:rPr>
          <w:rFonts w:hint="eastAsia" w:ascii="仿宋" w:hAnsi="仿宋" w:eastAsia="仿宋" w:cs="仿宋"/>
          <w:color w:val="000000"/>
          <w:szCs w:val="24"/>
        </w:rPr>
      </w:pPr>
      <w:r>
        <w:rPr>
          <w:rFonts w:hint="eastAsia" w:ascii="仿宋" w:hAnsi="仿宋" w:eastAsia="仿宋" w:cs="仿宋"/>
          <w:color w:val="000000"/>
          <w:szCs w:val="24"/>
        </w:rPr>
        <w:t>1.6本技术规范书中经招、</w:t>
      </w:r>
      <w:r>
        <w:rPr>
          <w:rFonts w:hint="eastAsia" w:ascii="仿宋" w:hAnsi="仿宋" w:eastAsia="仿宋" w:cs="仿宋"/>
          <w:color w:val="000000"/>
          <w:szCs w:val="24"/>
          <w:lang w:eastAsia="zh-CN"/>
        </w:rPr>
        <w:t>投标方</w:t>
      </w:r>
      <w:r>
        <w:rPr>
          <w:rFonts w:hint="eastAsia" w:ascii="仿宋" w:hAnsi="仿宋" w:eastAsia="仿宋" w:cs="仿宋"/>
          <w:color w:val="000000"/>
          <w:szCs w:val="24"/>
        </w:rPr>
        <w:t>双方确认后作为合同的技术附件，与合同正文具有同等的法律效力。本技术规范书中未尽事宜，由招、</w:t>
      </w:r>
      <w:r>
        <w:rPr>
          <w:rFonts w:hint="eastAsia" w:ascii="仿宋" w:hAnsi="仿宋" w:eastAsia="仿宋" w:cs="仿宋"/>
          <w:color w:val="000000"/>
          <w:szCs w:val="24"/>
          <w:lang w:eastAsia="zh-CN"/>
        </w:rPr>
        <w:t>投标方</w:t>
      </w:r>
      <w:r>
        <w:rPr>
          <w:rFonts w:hint="eastAsia" w:ascii="仿宋" w:hAnsi="仿宋" w:eastAsia="仿宋" w:cs="仿宋"/>
          <w:color w:val="000000"/>
          <w:szCs w:val="24"/>
        </w:rPr>
        <w:t>协商确定。</w:t>
      </w:r>
    </w:p>
    <w:p w14:paraId="08940F92">
      <w:pPr>
        <w:pStyle w:val="128"/>
        <w:tabs>
          <w:tab w:val="left" w:pos="480"/>
          <w:tab w:val="left" w:pos="1680"/>
        </w:tabs>
        <w:spacing w:line="360" w:lineRule="auto"/>
        <w:jc w:val="both"/>
        <w:rPr>
          <w:rFonts w:hint="eastAsia" w:ascii="仿宋" w:hAnsi="仿宋" w:eastAsia="仿宋" w:cs="仿宋"/>
          <w:color w:val="000000"/>
          <w:szCs w:val="24"/>
        </w:rPr>
      </w:pPr>
      <w:r>
        <w:rPr>
          <w:rFonts w:hint="eastAsia" w:ascii="仿宋" w:hAnsi="仿宋" w:eastAsia="仿宋" w:cs="仿宋"/>
          <w:color w:val="000000"/>
          <w:szCs w:val="24"/>
        </w:rPr>
        <w:t>1.7</w:t>
      </w:r>
      <w:r>
        <w:rPr>
          <w:rFonts w:hint="eastAsia" w:ascii="仿宋" w:hAnsi="仿宋" w:eastAsia="仿宋" w:cs="仿宋"/>
          <w:color w:val="000000"/>
          <w:spacing w:val="5"/>
          <w:szCs w:val="24"/>
        </w:rPr>
        <w:t>设备采用的专利涉及到的全部费用均被认为已包含在设备报价中，</w:t>
      </w:r>
      <w:r>
        <w:rPr>
          <w:rFonts w:hint="eastAsia" w:ascii="仿宋" w:hAnsi="仿宋" w:eastAsia="仿宋" w:cs="仿宋"/>
          <w:color w:val="000000"/>
          <w:spacing w:val="5"/>
          <w:szCs w:val="24"/>
          <w:lang w:eastAsia="zh-CN"/>
        </w:rPr>
        <w:t>投标方</w:t>
      </w:r>
      <w:r>
        <w:rPr>
          <w:rFonts w:hint="eastAsia" w:ascii="仿宋" w:hAnsi="仿宋" w:eastAsia="仿宋" w:cs="仿宋"/>
          <w:color w:val="000000"/>
          <w:spacing w:val="5"/>
          <w:szCs w:val="24"/>
        </w:rPr>
        <w:t>应保证</w:t>
      </w:r>
      <w:r>
        <w:rPr>
          <w:rFonts w:hint="eastAsia" w:ascii="仿宋" w:hAnsi="仿宋" w:eastAsia="仿宋" w:cs="仿宋"/>
          <w:color w:val="000000"/>
          <w:spacing w:val="5"/>
          <w:szCs w:val="24"/>
          <w:lang w:eastAsia="zh-CN"/>
        </w:rPr>
        <w:t>招标方</w:t>
      </w:r>
      <w:r>
        <w:rPr>
          <w:rFonts w:hint="eastAsia" w:ascii="仿宋" w:hAnsi="仿宋" w:eastAsia="仿宋" w:cs="仿宋"/>
          <w:color w:val="000000"/>
          <w:spacing w:val="5"/>
          <w:szCs w:val="24"/>
        </w:rPr>
        <w:t>不承担有关设备专利的一切责任。</w:t>
      </w:r>
    </w:p>
    <w:p w14:paraId="1C07EC44">
      <w:pPr>
        <w:pStyle w:val="128"/>
        <w:tabs>
          <w:tab w:val="left" w:pos="480"/>
          <w:tab w:val="left" w:pos="1680"/>
        </w:tabs>
        <w:spacing w:line="360" w:lineRule="auto"/>
        <w:jc w:val="both"/>
        <w:rPr>
          <w:rFonts w:hint="eastAsia" w:ascii="仿宋" w:hAnsi="仿宋" w:eastAsia="仿宋" w:cs="仿宋"/>
          <w:color w:val="000000"/>
          <w:szCs w:val="24"/>
        </w:rPr>
      </w:pPr>
      <w:r>
        <w:rPr>
          <w:rFonts w:hint="eastAsia" w:ascii="仿宋" w:hAnsi="仿宋" w:eastAsia="仿宋" w:cs="仿宋"/>
          <w:color w:val="000000"/>
          <w:szCs w:val="24"/>
        </w:rPr>
        <w:t>1.8</w:t>
      </w:r>
      <w:r>
        <w:rPr>
          <w:rFonts w:hint="eastAsia" w:ascii="仿宋" w:hAnsi="仿宋" w:eastAsia="仿宋" w:cs="仿宋"/>
          <w:color w:val="000000"/>
          <w:szCs w:val="24"/>
          <w:lang w:eastAsia="zh-CN"/>
        </w:rPr>
        <w:t>投标方</w:t>
      </w:r>
      <w:r>
        <w:rPr>
          <w:rFonts w:hint="eastAsia" w:ascii="仿宋" w:hAnsi="仿宋" w:eastAsia="仿宋" w:cs="仿宋"/>
          <w:color w:val="000000"/>
          <w:szCs w:val="24"/>
        </w:rPr>
        <w:t>应至少提供</w:t>
      </w:r>
      <w:r>
        <w:rPr>
          <w:rFonts w:hint="eastAsia" w:ascii="仿宋" w:hAnsi="仿宋" w:eastAsia="仿宋" w:cs="仿宋"/>
          <w:color w:val="000000"/>
          <w:szCs w:val="24"/>
          <w:lang w:val="en-US" w:eastAsia="zh-CN"/>
        </w:rPr>
        <w:t>同类型机组</w:t>
      </w:r>
      <w:r>
        <w:rPr>
          <w:rFonts w:hint="eastAsia" w:ascii="仿宋" w:hAnsi="仿宋" w:eastAsia="仿宋" w:cs="仿宋"/>
          <w:color w:val="000000"/>
          <w:szCs w:val="24"/>
        </w:rPr>
        <w:t>规模的</w:t>
      </w:r>
      <w:r>
        <w:rPr>
          <w:rFonts w:hint="eastAsia" w:ascii="仿宋" w:hAnsi="仿宋" w:eastAsia="仿宋" w:cs="仿宋"/>
          <w:color w:val="000000"/>
          <w:szCs w:val="24"/>
          <w:lang w:val="en-US" w:eastAsia="zh-CN"/>
        </w:rPr>
        <w:t>3</w:t>
      </w:r>
      <w:r>
        <w:rPr>
          <w:rFonts w:hint="eastAsia" w:ascii="仿宋" w:hAnsi="仿宋" w:eastAsia="仿宋" w:cs="仿宋"/>
          <w:color w:val="000000"/>
          <w:szCs w:val="24"/>
        </w:rPr>
        <w:t>个及以上</w:t>
      </w:r>
      <w:r>
        <w:rPr>
          <w:rFonts w:hint="eastAsia" w:ascii="仿宋" w:hAnsi="仿宋" w:eastAsia="仿宋" w:cs="仿宋"/>
          <w:color w:val="000000"/>
          <w:szCs w:val="24"/>
          <w:lang w:val="en-US" w:eastAsia="zh-CN"/>
        </w:rPr>
        <w:t>电厂</w:t>
      </w:r>
      <w:r>
        <w:rPr>
          <w:rFonts w:hint="eastAsia" w:ascii="仿宋" w:hAnsi="仿宋" w:eastAsia="仿宋" w:cs="仿宋"/>
          <w:color w:val="000000"/>
          <w:szCs w:val="24"/>
        </w:rPr>
        <w:t>的</w:t>
      </w:r>
      <w:r>
        <w:rPr>
          <w:rFonts w:hint="eastAsia" w:ascii="仿宋" w:hAnsi="仿宋" w:eastAsia="仿宋" w:cs="仿宋"/>
          <w:color w:val="000000"/>
          <w:szCs w:val="24"/>
          <w:lang w:val="en-US" w:eastAsia="zh-CN"/>
        </w:rPr>
        <w:t>空预器冲洗施工</w:t>
      </w:r>
      <w:r>
        <w:rPr>
          <w:rFonts w:hint="eastAsia" w:ascii="仿宋" w:hAnsi="仿宋" w:eastAsia="仿宋" w:cs="仿宋"/>
          <w:color w:val="000000"/>
          <w:szCs w:val="24"/>
        </w:rPr>
        <w:t>业绩</w:t>
      </w:r>
      <w:r>
        <w:rPr>
          <w:rFonts w:hint="eastAsia" w:ascii="仿宋" w:hAnsi="仿宋" w:eastAsia="仿宋" w:cs="仿宋"/>
          <w:color w:val="000000"/>
          <w:szCs w:val="24"/>
          <w:lang w:eastAsia="zh-CN"/>
        </w:rPr>
        <w:t>，</w:t>
      </w:r>
      <w:r>
        <w:rPr>
          <w:rFonts w:hint="eastAsia" w:ascii="仿宋" w:hAnsi="仿宋" w:eastAsia="仿宋" w:cs="仿宋"/>
          <w:color w:val="000000"/>
          <w:szCs w:val="24"/>
          <w:lang w:val="en-US" w:eastAsia="zh-CN"/>
        </w:rPr>
        <w:t>并提供相应的合同协议条款及用户证明材料</w:t>
      </w:r>
      <w:r>
        <w:rPr>
          <w:rFonts w:hint="eastAsia" w:ascii="仿宋" w:hAnsi="仿宋" w:eastAsia="仿宋" w:cs="仿宋"/>
          <w:color w:val="000000"/>
          <w:szCs w:val="24"/>
        </w:rPr>
        <w:t>。</w:t>
      </w:r>
    </w:p>
    <w:p w14:paraId="621A0327">
      <w:pPr>
        <w:pStyle w:val="128"/>
        <w:tabs>
          <w:tab w:val="left" w:pos="480"/>
          <w:tab w:val="left" w:pos="1680"/>
        </w:tabs>
        <w:spacing w:line="360" w:lineRule="auto"/>
        <w:jc w:val="both"/>
        <w:rPr>
          <w:rFonts w:hint="eastAsia" w:ascii="仿宋" w:hAnsi="仿宋" w:eastAsia="仿宋" w:cs="仿宋"/>
          <w:color w:val="000000"/>
          <w:szCs w:val="24"/>
        </w:rPr>
      </w:pPr>
      <w:r>
        <w:rPr>
          <w:rFonts w:hint="eastAsia" w:ascii="仿宋" w:hAnsi="仿宋" w:eastAsia="仿宋" w:cs="仿宋"/>
          <w:color w:val="000000"/>
          <w:szCs w:val="24"/>
        </w:rPr>
        <w:t>1.9</w:t>
      </w:r>
      <w:r>
        <w:rPr>
          <w:rFonts w:hint="eastAsia" w:ascii="仿宋" w:hAnsi="仿宋" w:eastAsia="仿宋" w:cs="仿宋"/>
          <w:color w:val="000000"/>
          <w:lang w:eastAsia="zh-CN"/>
        </w:rPr>
        <w:t>投标方</w:t>
      </w:r>
      <w:r>
        <w:rPr>
          <w:rFonts w:hint="eastAsia" w:ascii="仿宋" w:hAnsi="仿宋" w:eastAsia="仿宋" w:cs="仿宋"/>
          <w:color w:val="000000"/>
        </w:rPr>
        <w:t>应提供高质量的</w:t>
      </w:r>
      <w:r>
        <w:rPr>
          <w:rFonts w:hint="eastAsia" w:ascii="仿宋" w:hAnsi="仿宋" w:eastAsia="仿宋" w:cs="仿宋"/>
          <w:color w:val="000000"/>
          <w:lang w:val="en-US" w:eastAsia="zh-CN"/>
        </w:rPr>
        <w:t>冲洗</w:t>
      </w:r>
      <w:r>
        <w:rPr>
          <w:rFonts w:hint="eastAsia" w:ascii="仿宋" w:hAnsi="仿宋" w:eastAsia="仿宋" w:cs="仿宋"/>
          <w:color w:val="000000"/>
        </w:rPr>
        <w:t>设备和服务，这些设备应是成熟可靠、技术先进的产品，</w:t>
      </w:r>
      <w:r>
        <w:rPr>
          <w:rFonts w:hint="eastAsia" w:ascii="仿宋" w:hAnsi="仿宋" w:eastAsia="仿宋" w:cs="仿宋"/>
          <w:color w:val="000000"/>
          <w:lang w:val="en-US" w:eastAsia="zh-CN"/>
        </w:rPr>
        <w:t>施工期间</w:t>
      </w:r>
      <w:r>
        <w:rPr>
          <w:rFonts w:hint="eastAsia" w:ascii="仿宋" w:hAnsi="仿宋" w:eastAsia="仿宋" w:cs="仿宋"/>
          <w:color w:val="000000"/>
        </w:rPr>
        <w:t>对本工程范围中的设备成套系统内设备（含辅助系统与设备、附件等）负有全责。</w:t>
      </w:r>
    </w:p>
    <w:p w14:paraId="3BF012AB">
      <w:pPr>
        <w:spacing w:line="360" w:lineRule="auto"/>
        <w:rPr>
          <w:rFonts w:hint="eastAsia" w:ascii="仿宋" w:hAnsi="仿宋" w:eastAsia="仿宋" w:cs="仿宋"/>
          <w:b/>
          <w:color w:val="000000"/>
          <w:sz w:val="24"/>
        </w:rPr>
      </w:pPr>
      <w:r>
        <w:rPr>
          <w:rFonts w:hint="eastAsia" w:ascii="仿宋" w:hAnsi="仿宋" w:eastAsia="仿宋" w:cs="仿宋"/>
          <w:b/>
          <w:color w:val="000000"/>
          <w:sz w:val="24"/>
        </w:rPr>
        <w:t>2. 工程概况</w:t>
      </w:r>
    </w:p>
    <w:p w14:paraId="1D58F52D">
      <w:pPr>
        <w:pStyle w:val="75"/>
        <w:numPr>
          <w:ilvl w:val="0"/>
          <w:numId w:val="0"/>
        </w:numPr>
        <w:spacing w:line="36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洛阳万基宏远电力有限公司（2×600MW）#1、2机组分别于2023年10月16日、2024年5月31日完成168小时试运，正式移交生产。锅炉及空气预热器均为哈尔滨锅炉厂有限责任公司制造，脱硝同步建设，采用烟气选择性催化还原法（SCR）脱硝装置。</w:t>
      </w:r>
    </w:p>
    <w:p w14:paraId="6731D475">
      <w:pPr>
        <w:pStyle w:val="75"/>
        <w:numPr>
          <w:ilvl w:val="0"/>
          <w:numId w:val="0"/>
        </w:numPr>
        <w:spacing w:line="360" w:lineRule="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2.1</w:t>
      </w:r>
      <w:r>
        <w:rPr>
          <w:rFonts w:hint="eastAsia" w:ascii="仿宋" w:hAnsi="仿宋" w:eastAsia="仿宋" w:cs="仿宋"/>
          <w:b/>
          <w:bCs/>
          <w:color w:val="000000"/>
          <w:kern w:val="0"/>
          <w:sz w:val="24"/>
          <w:szCs w:val="24"/>
          <w:lang w:val="en-US" w:eastAsia="zh-CN" w:bidi="ar-SA"/>
        </w:rPr>
        <w:t>空气预热器型号</w:t>
      </w:r>
      <w:r>
        <w:rPr>
          <w:rFonts w:hint="eastAsia" w:ascii="仿宋" w:hAnsi="仿宋" w:eastAsia="仿宋" w:cs="仿宋"/>
          <w:color w:val="000000"/>
          <w:kern w:val="0"/>
          <w:sz w:val="24"/>
          <w:szCs w:val="24"/>
          <w:lang w:val="en-US" w:eastAsia="zh-CN" w:bidi="ar-SA"/>
        </w:rPr>
        <w:t>：33.5-VI(T)-2600-QMR 预热器形式：三分仓回转式空气预热器 风（一次风/二次风）/烟开口角度： 50度 空气预热器本体总重：约1800吨/一台炉 空气预热器高度：7622mm 。</w:t>
      </w:r>
    </w:p>
    <w:p w14:paraId="5553A7AE">
      <w:pPr>
        <w:pStyle w:val="75"/>
        <w:numPr>
          <w:ilvl w:val="0"/>
          <w:numId w:val="0"/>
        </w:numPr>
        <w:spacing w:line="360" w:lineRule="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2.2</w:t>
      </w:r>
      <w:r>
        <w:rPr>
          <w:rFonts w:hint="eastAsia" w:ascii="仿宋" w:hAnsi="仿宋" w:eastAsia="仿宋" w:cs="仿宋"/>
          <w:b/>
          <w:bCs/>
          <w:color w:val="000000"/>
          <w:kern w:val="0"/>
          <w:sz w:val="24"/>
          <w:szCs w:val="24"/>
          <w:lang w:val="en-US" w:eastAsia="zh-CN" w:bidi="ar-SA"/>
        </w:rPr>
        <w:t xml:space="preserve">空预器结构参数 </w:t>
      </w:r>
    </w:p>
    <w:p w14:paraId="3D1DCA0B">
      <w:pPr>
        <w:pStyle w:val="75"/>
        <w:numPr>
          <w:ilvl w:val="0"/>
          <w:numId w:val="0"/>
        </w:numPr>
        <w:spacing w:line="360" w:lineRule="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2.2.1传热元件 热端传热元件：700mm高 0.5mm厚 HE板型 碳钢 热端中间层传热元件：1000mm高 0.5mm厚 HE板型 碳钢 冷端传热元件：900mm高 0.8mm厚 HE2型 搪瓷钢板 ；</w:t>
      </w:r>
    </w:p>
    <w:p w14:paraId="6F44E678">
      <w:pPr>
        <w:pStyle w:val="75"/>
        <w:numPr>
          <w:ilvl w:val="0"/>
          <w:numId w:val="0"/>
        </w:numPr>
        <w:spacing w:line="360" w:lineRule="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2.2.2传热元件盒 安装形式：热端、中间层上抽，冷端侧抽；可倒置安装 材 质：热端及中间层碳钢；冷端CRLS；气流布置：烟气向下，空气向上。</w:t>
      </w:r>
    </w:p>
    <w:p w14:paraId="6A10F260">
      <w:pPr>
        <w:pStyle w:val="75"/>
        <w:numPr>
          <w:ilvl w:val="0"/>
          <w:numId w:val="0"/>
        </w:numPr>
        <w:spacing w:line="360" w:lineRule="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2.3</w:t>
      </w:r>
      <w:r>
        <w:rPr>
          <w:rFonts w:hint="eastAsia" w:ascii="仿宋" w:hAnsi="仿宋" w:eastAsia="仿宋" w:cs="仿宋"/>
          <w:b/>
          <w:bCs/>
          <w:color w:val="000000"/>
          <w:kern w:val="0"/>
          <w:sz w:val="24"/>
          <w:szCs w:val="24"/>
          <w:lang w:val="en-US" w:eastAsia="zh-CN" w:bidi="ar-SA"/>
        </w:rPr>
        <w:t>空气预热器数量：</w:t>
      </w:r>
      <w:r>
        <w:rPr>
          <w:rFonts w:hint="eastAsia" w:ascii="仿宋" w:hAnsi="仿宋" w:eastAsia="仿宋" w:cs="仿宋"/>
          <w:color w:val="000000"/>
          <w:kern w:val="0"/>
          <w:sz w:val="24"/>
          <w:szCs w:val="24"/>
          <w:lang w:val="en-US" w:eastAsia="zh-CN" w:bidi="ar-SA"/>
        </w:rPr>
        <w:t xml:space="preserve"> 2台/单台炉。</w:t>
      </w:r>
    </w:p>
    <w:p w14:paraId="61731079">
      <w:pPr>
        <w:pStyle w:val="103"/>
        <w:spacing w:line="360" w:lineRule="auto"/>
        <w:rPr>
          <w:rFonts w:hint="eastAsia" w:ascii="仿宋" w:hAnsi="仿宋" w:eastAsia="仿宋" w:cs="仿宋"/>
          <w:b/>
          <w:color w:val="000000"/>
          <w:kern w:val="0"/>
          <w:sz w:val="24"/>
          <w:szCs w:val="24"/>
        </w:rPr>
      </w:pPr>
      <w:r>
        <w:rPr>
          <w:rFonts w:hint="eastAsia" w:ascii="仿宋" w:hAnsi="仿宋" w:eastAsia="仿宋" w:cs="仿宋"/>
          <w:b/>
          <w:color w:val="000000"/>
          <w:sz w:val="24"/>
          <w:szCs w:val="24"/>
        </w:rPr>
        <w:t>3.</w:t>
      </w:r>
      <w:r>
        <w:rPr>
          <w:rFonts w:hint="eastAsia" w:ascii="仿宋" w:hAnsi="仿宋" w:eastAsia="仿宋" w:cs="仿宋"/>
          <w:b/>
          <w:color w:val="000000"/>
          <w:kern w:val="0"/>
          <w:sz w:val="24"/>
          <w:szCs w:val="24"/>
        </w:rPr>
        <w:t xml:space="preserve"> 编写依据，执行标准</w:t>
      </w:r>
    </w:p>
    <w:p w14:paraId="068192B6">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3.1</w:t>
      </w:r>
      <w:r>
        <w:rPr>
          <w:rFonts w:hint="eastAsia" w:ascii="仿宋" w:hAnsi="仿宋" w:eastAsia="仿宋" w:cs="仿宋"/>
          <w:sz w:val="24"/>
          <w:szCs w:val="24"/>
          <w:lang w:eastAsia="zh-CN"/>
        </w:rPr>
        <w:t>《</w:t>
      </w:r>
      <w:r>
        <w:rPr>
          <w:rFonts w:hint="eastAsia" w:ascii="仿宋" w:hAnsi="仿宋" w:eastAsia="仿宋" w:cs="仿宋"/>
          <w:sz w:val="24"/>
          <w:szCs w:val="24"/>
        </w:rPr>
        <w:t>电力建设安全工作规程》（火力发电厂部分DL5009.1-2014）</w:t>
      </w:r>
    </w:p>
    <w:p w14:paraId="146F841F">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.2《电力建设安全健康与环境管理工作规定》（2002）49号</w:t>
      </w:r>
    </w:p>
    <w:p w14:paraId="7242A967">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.3《发电企业设备检修导则》DL/T 838</w:t>
      </w:r>
    </w:p>
    <w:p w14:paraId="23F57EDF">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3.4</w:t>
      </w:r>
      <w:r>
        <w:rPr>
          <w:rFonts w:hint="eastAsia" w:ascii="仿宋" w:hAnsi="仿宋" w:eastAsia="仿宋" w:cs="仿宋"/>
          <w:sz w:val="24"/>
          <w:szCs w:val="24"/>
        </w:rPr>
        <w:t>《火力发电厂锅炉机组检修导则 第8部分：空气预热器检修》 DL/T 748.8</w:t>
      </w:r>
    </w:p>
    <w:p w14:paraId="4097187B">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3.5</w:t>
      </w:r>
      <w:r>
        <w:rPr>
          <w:rFonts w:hint="eastAsia" w:ascii="仿宋" w:hAnsi="仿宋" w:eastAsia="仿宋" w:cs="仿宋"/>
          <w:sz w:val="24"/>
          <w:szCs w:val="24"/>
        </w:rPr>
        <w:t>《回转式空气预热器运行维护规程》DL/T 750</w:t>
      </w:r>
    </w:p>
    <w:p w14:paraId="58C4DF92">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3.6</w:t>
      </w:r>
      <w:r>
        <w:rPr>
          <w:rFonts w:hint="eastAsia" w:ascii="仿宋" w:hAnsi="仿宋" w:eastAsia="仿宋" w:cs="仿宋"/>
          <w:sz w:val="24"/>
          <w:szCs w:val="24"/>
        </w:rPr>
        <w:t>《高压水射流清洗作业安全规范》GB 26148</w:t>
      </w:r>
    </w:p>
    <w:p w14:paraId="3D02779B">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3.7</w:t>
      </w:r>
      <w:r>
        <w:rPr>
          <w:rFonts w:hint="eastAsia" w:ascii="仿宋" w:hAnsi="仿宋" w:eastAsia="仿宋" w:cs="仿宋"/>
          <w:sz w:val="24"/>
          <w:szCs w:val="24"/>
        </w:rPr>
        <w:t>《电力安全作业规程（热力与机械部分）》 GB 26164.1</w:t>
      </w:r>
    </w:p>
    <w:p w14:paraId="491AED98">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3.8</w:t>
      </w:r>
      <w:r>
        <w:rPr>
          <w:rFonts w:hint="eastAsia" w:ascii="仿宋" w:hAnsi="仿宋" w:eastAsia="仿宋" w:cs="仿宋"/>
          <w:sz w:val="24"/>
          <w:szCs w:val="24"/>
        </w:rPr>
        <w:t>招标方内部《锅炉检修规程》</w:t>
      </w:r>
      <w:r>
        <w:rPr>
          <w:rFonts w:hint="eastAsia" w:ascii="仿宋" w:hAnsi="仿宋" w:eastAsia="仿宋" w:cs="仿宋"/>
          <w:sz w:val="24"/>
          <w:szCs w:val="24"/>
          <w:lang w:eastAsia="zh-CN"/>
        </w:rPr>
        <w:t>、</w:t>
      </w:r>
      <w:r>
        <w:rPr>
          <w:rFonts w:hint="eastAsia" w:ascii="仿宋" w:hAnsi="仿宋" w:eastAsia="仿宋" w:cs="仿宋"/>
          <w:sz w:val="24"/>
          <w:szCs w:val="24"/>
        </w:rPr>
        <w:t>哈锅预热器公司相关图纸资料</w:t>
      </w:r>
      <w:r>
        <w:rPr>
          <w:rFonts w:hint="eastAsia" w:ascii="仿宋" w:hAnsi="仿宋" w:eastAsia="仿宋" w:cs="仿宋"/>
          <w:sz w:val="24"/>
          <w:szCs w:val="24"/>
          <w:lang w:eastAsia="zh-CN"/>
        </w:rPr>
        <w:t>、</w:t>
      </w:r>
      <w:r>
        <w:rPr>
          <w:rFonts w:hint="eastAsia" w:ascii="仿宋" w:hAnsi="仿宋" w:eastAsia="仿宋" w:cs="仿宋"/>
          <w:sz w:val="24"/>
          <w:szCs w:val="24"/>
        </w:rPr>
        <w:t>《防止电力生产事故的二十五项重点要求》等</w:t>
      </w:r>
    </w:p>
    <w:p w14:paraId="4209E15F">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3.9</w:t>
      </w:r>
      <w:r>
        <w:rPr>
          <w:rFonts w:hint="eastAsia" w:ascii="仿宋" w:hAnsi="仿宋" w:eastAsia="仿宋" w:cs="仿宋"/>
          <w:sz w:val="24"/>
          <w:szCs w:val="24"/>
        </w:rPr>
        <w:t>长协期内若有新规程、标准发布，投标方须无偿遵守并执行招标方提出的补充技术要求。</w:t>
      </w:r>
    </w:p>
    <w:p w14:paraId="2BA5D18F">
      <w:pPr>
        <w:spacing w:line="360" w:lineRule="auto"/>
        <w:rPr>
          <w:rFonts w:hint="eastAsia" w:ascii="仿宋" w:hAnsi="仿宋" w:eastAsia="仿宋" w:cs="仿宋"/>
          <w:b/>
          <w:color w:val="000000"/>
          <w:sz w:val="24"/>
        </w:rPr>
      </w:pPr>
      <w:r>
        <w:rPr>
          <w:rFonts w:hint="eastAsia" w:ascii="仿宋" w:hAnsi="仿宋" w:eastAsia="仿宋" w:cs="仿宋"/>
          <w:b/>
          <w:color w:val="000000"/>
          <w:sz w:val="24"/>
        </w:rPr>
        <w:t xml:space="preserve">4. </w:t>
      </w:r>
      <w:r>
        <w:rPr>
          <w:rFonts w:hint="eastAsia" w:ascii="仿宋" w:hAnsi="仿宋" w:eastAsia="仿宋" w:cs="仿宋"/>
          <w:b/>
          <w:color w:val="000000"/>
          <w:sz w:val="24"/>
          <w:lang w:val="en-US" w:eastAsia="zh-CN"/>
        </w:rPr>
        <w:t>施工</w:t>
      </w:r>
      <w:r>
        <w:rPr>
          <w:rFonts w:hint="eastAsia" w:ascii="仿宋" w:hAnsi="仿宋" w:eastAsia="仿宋" w:cs="仿宋"/>
          <w:b/>
          <w:color w:val="000000"/>
          <w:sz w:val="24"/>
        </w:rPr>
        <w:t>范围、内容与</w:t>
      </w:r>
      <w:r>
        <w:rPr>
          <w:rFonts w:hint="eastAsia" w:ascii="仿宋" w:hAnsi="仿宋" w:eastAsia="仿宋" w:cs="仿宋"/>
          <w:b/>
          <w:color w:val="000000"/>
          <w:sz w:val="24"/>
          <w:lang w:val="en-US" w:eastAsia="zh-CN"/>
        </w:rPr>
        <w:t>期</w:t>
      </w:r>
      <w:r>
        <w:rPr>
          <w:rFonts w:hint="eastAsia" w:ascii="仿宋" w:hAnsi="仿宋" w:eastAsia="仿宋" w:cs="仿宋"/>
          <w:b/>
          <w:color w:val="000000"/>
          <w:sz w:val="24"/>
        </w:rPr>
        <w:t>限、施工工期</w:t>
      </w:r>
    </w:p>
    <w:p w14:paraId="35284063">
      <w:pPr>
        <w:spacing w:line="360" w:lineRule="auto"/>
        <w:rPr>
          <w:rFonts w:hint="eastAsia" w:ascii="仿宋" w:hAnsi="仿宋" w:eastAsia="仿宋" w:cs="仿宋"/>
          <w:b/>
          <w:bCs w:val="0"/>
          <w:sz w:val="24"/>
          <w:szCs w:val="24"/>
          <w:lang w:val="sq-AL"/>
        </w:rPr>
      </w:pPr>
      <w:r>
        <w:rPr>
          <w:rFonts w:hint="eastAsia" w:ascii="仿宋" w:hAnsi="仿宋" w:eastAsia="仿宋" w:cs="仿宋"/>
          <w:b w:val="0"/>
          <w:bCs/>
          <w:sz w:val="24"/>
          <w:szCs w:val="24"/>
          <w:lang w:val="sq-AL"/>
        </w:rPr>
        <w:t>4.1 工作范围</w:t>
      </w:r>
    </w:p>
    <w:p w14:paraId="3FB6652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1、2</w:t>
      </w:r>
      <w:r>
        <w:rPr>
          <w:rFonts w:hint="eastAsia" w:ascii="仿宋" w:hAnsi="仿宋" w:eastAsia="仿宋" w:cs="仿宋"/>
          <w:sz w:val="24"/>
          <w:szCs w:val="24"/>
        </w:rPr>
        <w:t>炉A、B侧</w:t>
      </w:r>
      <w:r>
        <w:rPr>
          <w:rFonts w:hint="eastAsia" w:ascii="仿宋" w:hAnsi="仿宋" w:eastAsia="仿宋" w:cs="仿宋"/>
          <w:sz w:val="24"/>
          <w:szCs w:val="24"/>
          <w:lang w:val="en-US" w:eastAsia="zh-CN"/>
        </w:rPr>
        <w:t>四台</w:t>
      </w:r>
      <w:r>
        <w:rPr>
          <w:rFonts w:hint="eastAsia" w:ascii="仿宋" w:hAnsi="仿宋" w:eastAsia="仿宋" w:cs="仿宋"/>
          <w:sz w:val="24"/>
          <w:szCs w:val="24"/>
        </w:rPr>
        <w:t>空气预热器换热元件在</w:t>
      </w:r>
      <w:r>
        <w:rPr>
          <w:rFonts w:hint="eastAsia" w:ascii="仿宋" w:hAnsi="仿宋" w:eastAsia="仿宋" w:cs="仿宋"/>
          <w:sz w:val="24"/>
          <w:szCs w:val="24"/>
          <w:lang w:val="en-US" w:eastAsia="zh-CN"/>
        </w:rPr>
        <w:t>空预器</w:t>
      </w:r>
      <w:r>
        <w:rPr>
          <w:rFonts w:hint="eastAsia" w:ascii="仿宋" w:hAnsi="仿宋" w:eastAsia="仿宋" w:cs="仿宋"/>
          <w:sz w:val="24"/>
          <w:szCs w:val="24"/>
        </w:rPr>
        <w:t>内</w:t>
      </w:r>
      <w:r>
        <w:rPr>
          <w:rFonts w:hint="eastAsia" w:ascii="仿宋" w:hAnsi="仿宋" w:eastAsia="仿宋" w:cs="仿宋"/>
          <w:sz w:val="24"/>
          <w:szCs w:val="24"/>
          <w:lang w:val="en-US" w:eastAsia="zh-CN"/>
        </w:rPr>
        <w:t>部按不</w:t>
      </w:r>
      <w:r>
        <w:rPr>
          <w:rFonts w:hint="eastAsia" w:ascii="仿宋" w:hAnsi="仿宋" w:eastAsia="仿宋" w:cs="仿宋"/>
          <w:sz w:val="24"/>
          <w:szCs w:val="24"/>
        </w:rPr>
        <w:t>抽出换热元件进行高压水</w:t>
      </w:r>
      <w:r>
        <w:rPr>
          <w:rFonts w:hint="eastAsia" w:ascii="仿宋" w:hAnsi="仿宋" w:eastAsia="仿宋" w:cs="仿宋"/>
          <w:sz w:val="24"/>
          <w:szCs w:val="24"/>
          <w:lang w:val="en-US" w:eastAsia="zh-CN"/>
        </w:rPr>
        <w:t>离线</w:t>
      </w:r>
      <w:r>
        <w:rPr>
          <w:rFonts w:hint="eastAsia" w:ascii="仿宋" w:hAnsi="仿宋" w:eastAsia="仿宋" w:cs="仿宋"/>
          <w:sz w:val="24"/>
          <w:szCs w:val="24"/>
          <w:lang w:eastAsia="zh-CN"/>
        </w:rPr>
        <w:t>冲洗</w:t>
      </w:r>
      <w:r>
        <w:rPr>
          <w:rFonts w:hint="eastAsia" w:ascii="仿宋" w:hAnsi="仿宋" w:eastAsia="仿宋" w:cs="仿宋"/>
          <w:sz w:val="24"/>
          <w:szCs w:val="24"/>
        </w:rPr>
        <w:t>工作。</w:t>
      </w:r>
    </w:p>
    <w:p w14:paraId="3354B629">
      <w:pPr>
        <w:spacing w:line="360" w:lineRule="auto"/>
        <w:rPr>
          <w:rFonts w:hint="eastAsia" w:ascii="仿宋" w:hAnsi="仿宋" w:eastAsia="仿宋" w:cs="仿宋"/>
          <w:sz w:val="24"/>
          <w:szCs w:val="24"/>
        </w:rPr>
      </w:pPr>
      <w:r>
        <w:rPr>
          <w:rFonts w:hint="eastAsia" w:ascii="仿宋" w:hAnsi="仿宋" w:eastAsia="仿宋" w:cs="仿宋"/>
          <w:sz w:val="24"/>
          <w:szCs w:val="24"/>
        </w:rPr>
        <w:t>4.2工作内容及工作量</w:t>
      </w:r>
    </w:p>
    <w:p w14:paraId="0080A0B5">
      <w:pPr>
        <w:spacing w:line="360" w:lineRule="auto"/>
        <w:rPr>
          <w:rFonts w:hint="eastAsia" w:ascii="仿宋" w:hAnsi="仿宋" w:eastAsia="仿宋" w:cs="仿宋"/>
          <w:sz w:val="24"/>
          <w:szCs w:val="24"/>
        </w:rPr>
      </w:pPr>
      <w:r>
        <w:rPr>
          <w:rFonts w:hint="eastAsia" w:ascii="仿宋" w:hAnsi="仿宋" w:eastAsia="仿宋" w:cs="仿宋"/>
          <w:sz w:val="24"/>
          <w:szCs w:val="24"/>
        </w:rPr>
        <w:t>4.2.1 #</w:t>
      </w:r>
      <w:r>
        <w:rPr>
          <w:rFonts w:hint="eastAsia" w:ascii="仿宋" w:hAnsi="仿宋" w:eastAsia="仿宋" w:cs="仿宋"/>
          <w:sz w:val="24"/>
          <w:szCs w:val="24"/>
          <w:lang w:val="en-US" w:eastAsia="zh-CN"/>
        </w:rPr>
        <w:t>1、2</w:t>
      </w:r>
      <w:r>
        <w:rPr>
          <w:rFonts w:hint="eastAsia" w:ascii="仿宋" w:hAnsi="仿宋" w:eastAsia="仿宋" w:cs="仿宋"/>
          <w:sz w:val="24"/>
          <w:szCs w:val="24"/>
        </w:rPr>
        <w:t>炉空气预热器的高压水</w:t>
      </w:r>
      <w:r>
        <w:rPr>
          <w:rFonts w:hint="eastAsia" w:ascii="仿宋" w:hAnsi="仿宋" w:eastAsia="仿宋" w:cs="仿宋"/>
          <w:sz w:val="24"/>
          <w:szCs w:val="24"/>
          <w:lang w:eastAsia="zh-CN"/>
        </w:rPr>
        <w:t>冲洗</w:t>
      </w:r>
      <w:r>
        <w:rPr>
          <w:rFonts w:hint="eastAsia" w:ascii="仿宋" w:hAnsi="仿宋" w:eastAsia="仿宋" w:cs="仿宋"/>
          <w:sz w:val="24"/>
          <w:szCs w:val="24"/>
        </w:rPr>
        <w:t>工作，包括但不限于前期准备、空预器底部烟道清灰、冲洗、验收、现场清洁等。</w:t>
      </w:r>
    </w:p>
    <w:p w14:paraId="763FDE70">
      <w:pPr>
        <w:spacing w:line="360" w:lineRule="auto"/>
        <w:rPr>
          <w:rFonts w:hint="eastAsia" w:ascii="仿宋" w:hAnsi="仿宋" w:eastAsia="仿宋" w:cs="仿宋"/>
          <w:sz w:val="24"/>
          <w:szCs w:val="24"/>
        </w:rPr>
      </w:pPr>
      <w:r>
        <w:rPr>
          <w:rFonts w:hint="eastAsia" w:ascii="仿宋" w:hAnsi="仿宋" w:eastAsia="仿宋" w:cs="仿宋"/>
          <w:sz w:val="24"/>
          <w:szCs w:val="24"/>
        </w:rPr>
        <w:t>4.2.2 所有与机械</w:t>
      </w:r>
      <w:r>
        <w:rPr>
          <w:rFonts w:hint="eastAsia" w:ascii="仿宋" w:hAnsi="仿宋" w:eastAsia="仿宋" w:cs="仿宋"/>
          <w:sz w:val="24"/>
          <w:szCs w:val="24"/>
          <w:lang w:eastAsia="zh-CN"/>
        </w:rPr>
        <w:t>冲洗</w:t>
      </w:r>
      <w:r>
        <w:rPr>
          <w:rFonts w:hint="eastAsia" w:ascii="仿宋" w:hAnsi="仿宋" w:eastAsia="仿宋" w:cs="仿宋"/>
          <w:sz w:val="24"/>
          <w:szCs w:val="24"/>
        </w:rPr>
        <w:t>有关的设备、工器具、材料全部由</w:t>
      </w:r>
      <w:r>
        <w:rPr>
          <w:rFonts w:hint="eastAsia" w:ascii="仿宋" w:hAnsi="仿宋" w:eastAsia="仿宋" w:cs="仿宋"/>
          <w:sz w:val="24"/>
          <w:szCs w:val="24"/>
          <w:lang w:val="en-US" w:eastAsia="zh-CN"/>
        </w:rPr>
        <w:t>投标</w:t>
      </w:r>
      <w:r>
        <w:rPr>
          <w:rFonts w:hint="eastAsia" w:ascii="仿宋" w:hAnsi="仿宋" w:eastAsia="仿宋" w:cs="仿宋"/>
          <w:sz w:val="24"/>
          <w:szCs w:val="24"/>
        </w:rPr>
        <w:t>方提供，施工所用安全隔离，人孔的拆除</w:t>
      </w:r>
      <w:r>
        <w:rPr>
          <w:rFonts w:hint="eastAsia" w:ascii="仿宋" w:hAnsi="仿宋" w:eastAsia="仿宋" w:cs="仿宋"/>
          <w:sz w:val="24"/>
          <w:szCs w:val="24"/>
          <w:lang w:val="en-US" w:eastAsia="zh-CN"/>
        </w:rPr>
        <w:t>与恢复，三级沉淀池/临时贮水池的搭建与拆除等</w:t>
      </w:r>
      <w:r>
        <w:rPr>
          <w:rFonts w:hint="eastAsia" w:ascii="仿宋" w:hAnsi="仿宋" w:eastAsia="仿宋" w:cs="仿宋"/>
          <w:sz w:val="24"/>
          <w:szCs w:val="24"/>
        </w:rPr>
        <w:t>均由</w:t>
      </w:r>
      <w:r>
        <w:rPr>
          <w:rFonts w:hint="eastAsia" w:ascii="仿宋" w:hAnsi="仿宋" w:eastAsia="仿宋" w:cs="仿宋"/>
          <w:sz w:val="24"/>
          <w:szCs w:val="24"/>
          <w:lang w:val="en-US" w:eastAsia="zh-CN"/>
        </w:rPr>
        <w:t>投标</w:t>
      </w:r>
      <w:r>
        <w:rPr>
          <w:rFonts w:hint="eastAsia" w:ascii="仿宋" w:hAnsi="仿宋" w:eastAsia="仿宋" w:cs="仿宋"/>
          <w:sz w:val="24"/>
          <w:szCs w:val="24"/>
        </w:rPr>
        <w:t>方负责；</w:t>
      </w:r>
      <w:r>
        <w:rPr>
          <w:rFonts w:hint="eastAsia" w:ascii="仿宋" w:hAnsi="仿宋" w:eastAsia="仿宋" w:cs="仿宋"/>
          <w:sz w:val="24"/>
          <w:szCs w:val="24"/>
          <w:lang w:eastAsia="zh-CN"/>
        </w:rPr>
        <w:t>招标方</w:t>
      </w:r>
      <w:r>
        <w:rPr>
          <w:rFonts w:hint="eastAsia" w:ascii="仿宋" w:hAnsi="仿宋" w:eastAsia="仿宋" w:cs="仿宋"/>
          <w:sz w:val="24"/>
          <w:szCs w:val="24"/>
          <w:lang w:val="en-US" w:eastAsia="zh-CN"/>
        </w:rPr>
        <w:t>仅</w:t>
      </w:r>
      <w:r>
        <w:rPr>
          <w:rFonts w:hint="eastAsia" w:ascii="仿宋" w:hAnsi="仿宋" w:eastAsia="仿宋" w:cs="仿宋"/>
          <w:sz w:val="24"/>
          <w:szCs w:val="24"/>
        </w:rPr>
        <w:t>提供水源点、电源点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气源点</w:t>
      </w:r>
      <w:r>
        <w:rPr>
          <w:rFonts w:hint="eastAsia" w:ascii="仿宋" w:hAnsi="仿宋" w:eastAsia="仿宋" w:cs="仿宋"/>
          <w:sz w:val="24"/>
          <w:szCs w:val="24"/>
        </w:rPr>
        <w:t>。</w:t>
      </w:r>
    </w:p>
    <w:p w14:paraId="5A1782CE">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4.2.3 </w:t>
      </w:r>
      <w:r>
        <w:rPr>
          <w:rFonts w:hint="eastAsia" w:ascii="仿宋" w:hAnsi="仿宋" w:eastAsia="仿宋" w:cs="仿宋"/>
          <w:sz w:val="24"/>
          <w:szCs w:val="24"/>
          <w:lang w:eastAsia="zh-CN"/>
        </w:rPr>
        <w:t>冲洗</w:t>
      </w:r>
      <w:r>
        <w:rPr>
          <w:rFonts w:hint="eastAsia" w:ascii="仿宋" w:hAnsi="仿宋" w:eastAsia="仿宋" w:cs="仿宋"/>
          <w:sz w:val="24"/>
          <w:szCs w:val="24"/>
        </w:rPr>
        <w:t>后现场清洁卫生：施工现场必须保证灰水不溢流入</w:t>
      </w:r>
      <w:r>
        <w:rPr>
          <w:rFonts w:hint="eastAsia" w:ascii="仿宋" w:hAnsi="仿宋" w:eastAsia="仿宋" w:cs="仿宋"/>
          <w:sz w:val="24"/>
          <w:szCs w:val="24"/>
          <w:lang w:val="en-US" w:eastAsia="zh-CN"/>
        </w:rPr>
        <w:t>烟风道及</w:t>
      </w:r>
      <w:r>
        <w:rPr>
          <w:rFonts w:hint="eastAsia" w:ascii="仿宋" w:hAnsi="仿宋" w:eastAsia="仿宋" w:cs="仿宋"/>
          <w:sz w:val="24"/>
          <w:szCs w:val="24"/>
        </w:rPr>
        <w:t>地沟，</w:t>
      </w:r>
      <w:r>
        <w:rPr>
          <w:rFonts w:hint="eastAsia" w:ascii="仿宋" w:hAnsi="仿宋" w:eastAsia="仿宋" w:cs="仿宋"/>
          <w:sz w:val="24"/>
          <w:szCs w:val="24"/>
          <w:lang w:eastAsia="zh-CN"/>
        </w:rPr>
        <w:t>投标方</w:t>
      </w:r>
      <w:r>
        <w:rPr>
          <w:rFonts w:hint="eastAsia" w:ascii="仿宋" w:hAnsi="仿宋" w:eastAsia="仿宋" w:cs="仿宋"/>
          <w:sz w:val="24"/>
          <w:szCs w:val="24"/>
        </w:rPr>
        <w:t>采取有效措施保证</w:t>
      </w:r>
      <w:r>
        <w:rPr>
          <w:rFonts w:hint="eastAsia" w:ascii="仿宋" w:hAnsi="仿宋" w:eastAsia="仿宋" w:cs="仿宋"/>
          <w:sz w:val="24"/>
          <w:szCs w:val="24"/>
          <w:lang w:eastAsia="zh-CN"/>
        </w:rPr>
        <w:t>冲洗</w:t>
      </w:r>
      <w:r>
        <w:rPr>
          <w:rFonts w:hint="eastAsia" w:ascii="仿宋" w:hAnsi="仿宋" w:eastAsia="仿宋" w:cs="仿宋"/>
          <w:sz w:val="24"/>
          <w:szCs w:val="24"/>
        </w:rPr>
        <w:t>后的水经过至少三次澄清，具体以</w:t>
      </w:r>
      <w:r>
        <w:rPr>
          <w:rFonts w:hint="eastAsia" w:ascii="仿宋" w:hAnsi="仿宋" w:eastAsia="仿宋" w:cs="仿宋"/>
          <w:sz w:val="24"/>
          <w:szCs w:val="24"/>
          <w:lang w:eastAsia="zh-CN"/>
        </w:rPr>
        <w:t>招标方</w:t>
      </w:r>
      <w:r>
        <w:rPr>
          <w:rFonts w:hint="eastAsia" w:ascii="仿宋" w:hAnsi="仿宋" w:eastAsia="仿宋" w:cs="仿宋"/>
          <w:sz w:val="24"/>
          <w:szCs w:val="24"/>
        </w:rPr>
        <w:t>要求的外排水质为准。</w:t>
      </w:r>
      <w:r>
        <w:rPr>
          <w:rFonts w:hint="eastAsia" w:ascii="仿宋" w:hAnsi="仿宋" w:eastAsia="仿宋" w:cs="仿宋"/>
          <w:sz w:val="24"/>
          <w:szCs w:val="24"/>
          <w:lang w:eastAsia="zh-CN"/>
        </w:rPr>
        <w:t>投标方</w:t>
      </w:r>
      <w:r>
        <w:rPr>
          <w:rFonts w:hint="eastAsia" w:ascii="仿宋" w:hAnsi="仿宋" w:eastAsia="仿宋" w:cs="仿宋"/>
          <w:sz w:val="24"/>
          <w:szCs w:val="24"/>
        </w:rPr>
        <w:t>负责清理</w:t>
      </w:r>
      <w:r>
        <w:rPr>
          <w:rFonts w:hint="eastAsia" w:ascii="仿宋" w:hAnsi="仿宋" w:eastAsia="仿宋" w:cs="仿宋"/>
          <w:sz w:val="24"/>
          <w:szCs w:val="24"/>
          <w:lang w:val="en-US" w:eastAsia="zh-CN"/>
        </w:rPr>
        <w:t>空预器出口烟道及</w:t>
      </w:r>
      <w:r>
        <w:rPr>
          <w:rFonts w:hint="eastAsia" w:ascii="仿宋" w:hAnsi="仿宋" w:eastAsia="仿宋" w:cs="仿宋"/>
          <w:sz w:val="24"/>
          <w:szCs w:val="24"/>
        </w:rPr>
        <w:t>灰斗内积灰</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疏通灰斗下方排水管等相关工作</w:t>
      </w:r>
      <w:r>
        <w:rPr>
          <w:rFonts w:hint="eastAsia" w:ascii="仿宋" w:hAnsi="仿宋" w:eastAsia="仿宋" w:cs="仿宋"/>
          <w:sz w:val="24"/>
          <w:szCs w:val="24"/>
        </w:rPr>
        <w:t>，并清理现场</w:t>
      </w:r>
      <w:r>
        <w:rPr>
          <w:rFonts w:hint="eastAsia" w:ascii="仿宋" w:hAnsi="仿宋" w:eastAsia="仿宋" w:cs="仿宋"/>
          <w:sz w:val="24"/>
          <w:szCs w:val="24"/>
          <w:lang w:val="en-US" w:eastAsia="zh-CN"/>
        </w:rPr>
        <w:t>积灰</w:t>
      </w:r>
      <w:r>
        <w:rPr>
          <w:rFonts w:hint="eastAsia" w:ascii="仿宋" w:hAnsi="仿宋" w:eastAsia="仿宋" w:cs="仿宋"/>
          <w:sz w:val="24"/>
          <w:szCs w:val="24"/>
        </w:rPr>
        <w:t>并</w:t>
      </w:r>
      <w:r>
        <w:rPr>
          <w:rFonts w:hint="eastAsia" w:ascii="仿宋" w:hAnsi="仿宋" w:eastAsia="仿宋" w:cs="仿宋"/>
          <w:sz w:val="24"/>
          <w:szCs w:val="24"/>
          <w:lang w:val="en-US" w:eastAsia="zh-CN"/>
        </w:rPr>
        <w:t>按招标方要求转运至指定位置</w:t>
      </w:r>
      <w:r>
        <w:rPr>
          <w:rFonts w:hint="eastAsia" w:ascii="仿宋" w:hAnsi="仿宋" w:eastAsia="仿宋" w:cs="仿宋"/>
          <w:sz w:val="24"/>
          <w:szCs w:val="24"/>
        </w:rPr>
        <w:t>。</w:t>
      </w:r>
    </w:p>
    <w:p w14:paraId="2BD37CE3">
      <w:pPr>
        <w:spacing w:line="360" w:lineRule="auto"/>
        <w:rPr>
          <w:rFonts w:hint="eastAsia" w:ascii="仿宋" w:hAnsi="仿宋" w:eastAsia="仿宋" w:cs="仿宋"/>
          <w:sz w:val="24"/>
          <w:szCs w:val="24"/>
        </w:rPr>
      </w:pPr>
      <w:r>
        <w:rPr>
          <w:rFonts w:hint="eastAsia" w:ascii="仿宋" w:hAnsi="仿宋" w:eastAsia="仿宋" w:cs="仿宋"/>
          <w:sz w:val="24"/>
          <w:szCs w:val="24"/>
        </w:rPr>
        <w:t>4.2.4</w:t>
      </w:r>
      <w:r>
        <w:rPr>
          <w:rFonts w:hint="eastAsia" w:ascii="仿宋" w:hAnsi="仿宋" w:eastAsia="仿宋" w:cs="仿宋"/>
          <w:sz w:val="24"/>
          <w:szCs w:val="24"/>
          <w:lang w:val="en-US" w:eastAsia="zh-CN"/>
        </w:rPr>
        <w:t>两年内单台锅炉计划冲洗4次，两台锅炉</w:t>
      </w:r>
      <w:r>
        <w:rPr>
          <w:rFonts w:hint="eastAsia" w:ascii="仿宋" w:hAnsi="仿宋" w:eastAsia="仿宋" w:cs="仿宋"/>
          <w:sz w:val="24"/>
          <w:szCs w:val="24"/>
        </w:rPr>
        <w:t>共</w:t>
      </w:r>
      <w:r>
        <w:rPr>
          <w:rFonts w:hint="eastAsia" w:ascii="仿宋" w:hAnsi="仿宋" w:eastAsia="仿宋" w:cs="仿宋"/>
          <w:sz w:val="24"/>
          <w:szCs w:val="24"/>
          <w:lang w:val="en-US" w:eastAsia="zh-CN"/>
        </w:rPr>
        <w:t>8</w:t>
      </w:r>
      <w:r>
        <w:rPr>
          <w:rFonts w:hint="eastAsia" w:ascii="仿宋" w:hAnsi="仿宋" w:eastAsia="仿宋" w:cs="仿宋"/>
          <w:sz w:val="24"/>
          <w:szCs w:val="24"/>
        </w:rPr>
        <w:t>次的空预器高压水冲洗及冲洗</w:t>
      </w:r>
      <w:r>
        <w:rPr>
          <w:rFonts w:hint="eastAsia" w:ascii="仿宋" w:hAnsi="仿宋" w:eastAsia="仿宋" w:cs="仿宋"/>
          <w:sz w:val="24"/>
          <w:szCs w:val="24"/>
          <w:lang w:val="en-US" w:eastAsia="zh-CN"/>
        </w:rPr>
        <w:t>前灰斗、烟道清灰和冲洗</w:t>
      </w:r>
      <w:r>
        <w:rPr>
          <w:rFonts w:hint="eastAsia" w:ascii="仿宋" w:hAnsi="仿宋" w:eastAsia="仿宋" w:cs="仿宋"/>
          <w:sz w:val="24"/>
          <w:szCs w:val="24"/>
        </w:rPr>
        <w:t>后的积灰清理、外运，最终据实结算；</w:t>
      </w:r>
    </w:p>
    <w:p w14:paraId="25CC7B58">
      <w:pPr>
        <w:spacing w:line="360" w:lineRule="auto"/>
        <w:rPr>
          <w:rFonts w:hint="eastAsia" w:ascii="仿宋" w:hAnsi="仿宋" w:eastAsia="仿宋" w:cs="仿宋"/>
          <w:sz w:val="24"/>
          <w:szCs w:val="24"/>
          <w:highlight w:val="none"/>
        </w:rPr>
      </w:pPr>
      <w:r>
        <w:rPr>
          <w:rFonts w:hint="eastAsia" w:ascii="仿宋" w:hAnsi="仿宋" w:eastAsia="仿宋" w:cs="仿宋"/>
          <w:sz w:val="24"/>
          <w:szCs w:val="24"/>
          <w:lang w:val="en-US" w:eastAsia="zh-CN"/>
        </w:rPr>
        <w:t>4.2.5每次冲洗工作</w:t>
      </w:r>
      <w:r>
        <w:rPr>
          <w:rFonts w:hint="eastAsia" w:ascii="仿宋" w:hAnsi="仿宋" w:eastAsia="仿宋" w:cs="仿宋"/>
          <w:sz w:val="24"/>
          <w:szCs w:val="24"/>
          <w:highlight w:val="none"/>
        </w:rPr>
        <w:t>自开工</w:t>
      </w:r>
      <w:r>
        <w:rPr>
          <w:rFonts w:hint="eastAsia" w:ascii="仿宋" w:hAnsi="仿宋" w:eastAsia="仿宋" w:cs="仿宋"/>
          <w:sz w:val="24"/>
          <w:szCs w:val="24"/>
          <w:highlight w:val="none"/>
          <w:lang w:val="en-US" w:eastAsia="zh-CN"/>
        </w:rPr>
        <w:t>至冲洗</w:t>
      </w:r>
      <w:r>
        <w:rPr>
          <w:rFonts w:hint="eastAsia" w:ascii="仿宋" w:hAnsi="仿宋" w:eastAsia="仿宋" w:cs="仿宋"/>
          <w:sz w:val="24"/>
          <w:szCs w:val="24"/>
          <w:highlight w:val="none"/>
        </w:rPr>
        <w:t>结束，工期最长不超过</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天，满足</w:t>
      </w:r>
      <w:r>
        <w:rPr>
          <w:rFonts w:hint="eastAsia" w:ascii="仿宋" w:hAnsi="仿宋" w:eastAsia="仿宋" w:cs="仿宋"/>
          <w:sz w:val="24"/>
          <w:szCs w:val="24"/>
          <w:highlight w:val="none"/>
          <w:lang w:eastAsia="zh-CN"/>
        </w:rPr>
        <w:t>招标方</w:t>
      </w:r>
      <w:r>
        <w:rPr>
          <w:rFonts w:hint="eastAsia" w:ascii="仿宋" w:hAnsi="仿宋" w:eastAsia="仿宋" w:cs="仿宋"/>
          <w:sz w:val="24"/>
          <w:szCs w:val="24"/>
          <w:highlight w:val="none"/>
        </w:rPr>
        <w:t>机组检修工期要求。</w:t>
      </w:r>
    </w:p>
    <w:p w14:paraId="53545328">
      <w:p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4.2.6</w:t>
      </w:r>
      <w:r>
        <w:rPr>
          <w:rFonts w:hint="eastAsia" w:ascii="仿宋" w:hAnsi="仿宋" w:eastAsia="仿宋" w:cs="仿宋"/>
          <w:sz w:val="24"/>
          <w:szCs w:val="24"/>
        </w:rPr>
        <w:t>长期委托服务期为合同签订后</w:t>
      </w:r>
      <w:r>
        <w:rPr>
          <w:rFonts w:hint="eastAsia" w:ascii="仿宋" w:hAnsi="仿宋" w:eastAsia="仿宋" w:cs="仿宋"/>
          <w:sz w:val="24"/>
          <w:szCs w:val="24"/>
          <w:lang w:val="en-US" w:eastAsia="zh-CN"/>
        </w:rPr>
        <w:t>两</w:t>
      </w:r>
      <w:r>
        <w:rPr>
          <w:rFonts w:hint="eastAsia" w:ascii="仿宋" w:hAnsi="仿宋" w:eastAsia="仿宋" w:cs="仿宋"/>
          <w:sz w:val="24"/>
          <w:szCs w:val="24"/>
        </w:rPr>
        <w:t>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自2026年9月1日起至2028年8月31止（暂定）</w:t>
      </w:r>
      <w:r>
        <w:rPr>
          <w:rFonts w:hint="eastAsia" w:ascii="仿宋" w:hAnsi="仿宋" w:eastAsia="仿宋" w:cs="仿宋"/>
          <w:sz w:val="24"/>
          <w:szCs w:val="24"/>
        </w:rPr>
        <w:t>。</w:t>
      </w:r>
    </w:p>
    <w:p w14:paraId="33ADF21B">
      <w:pPr>
        <w:spacing w:line="360" w:lineRule="auto"/>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5</w:t>
      </w:r>
      <w:r>
        <w:rPr>
          <w:rFonts w:hint="eastAsia" w:ascii="仿宋" w:hAnsi="仿宋" w:eastAsia="仿宋" w:cs="仿宋"/>
          <w:b/>
          <w:color w:val="000000"/>
          <w:sz w:val="24"/>
          <w:szCs w:val="24"/>
        </w:rPr>
        <w:t>. 工程验收质量标准</w:t>
      </w:r>
    </w:p>
    <w:p w14:paraId="3C519863">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.1冷、热端传热元件</w:t>
      </w:r>
      <w:r>
        <w:rPr>
          <w:rFonts w:hint="eastAsia" w:ascii="仿宋" w:hAnsi="仿宋" w:eastAsia="仿宋" w:cs="仿宋"/>
          <w:color w:val="000000"/>
          <w:sz w:val="24"/>
          <w:szCs w:val="24"/>
          <w:lang w:eastAsia="zh-CN"/>
        </w:rPr>
        <w:t>冲洗</w:t>
      </w:r>
      <w:r>
        <w:rPr>
          <w:rFonts w:hint="eastAsia" w:ascii="仿宋" w:hAnsi="仿宋" w:eastAsia="仿宋" w:cs="仿宋"/>
          <w:color w:val="000000"/>
          <w:sz w:val="24"/>
          <w:szCs w:val="24"/>
        </w:rPr>
        <w:t>干净</w:t>
      </w:r>
    </w:p>
    <w:p w14:paraId="474E7C35">
      <w:pPr>
        <w:spacing w:line="360" w:lineRule="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.2空预器下部烟道杂物清理干净。</w:t>
      </w:r>
    </w:p>
    <w:p w14:paraId="555E55A4">
      <w:pPr>
        <w:spacing w:line="360" w:lineRule="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eastAsia="zh-CN"/>
        </w:rPr>
        <w:t>冲洗</w:t>
      </w:r>
      <w:r>
        <w:rPr>
          <w:rFonts w:hint="eastAsia" w:ascii="仿宋" w:hAnsi="仿宋" w:eastAsia="仿宋" w:cs="仿宋"/>
          <w:color w:val="000000"/>
          <w:sz w:val="24"/>
          <w:szCs w:val="24"/>
          <w:highlight w:val="none"/>
        </w:rPr>
        <w:t>后波纹板表面附着的灰垢</w:t>
      </w:r>
      <w:r>
        <w:rPr>
          <w:rFonts w:hint="eastAsia" w:ascii="仿宋" w:hAnsi="仿宋" w:eastAsia="仿宋" w:cs="仿宋"/>
          <w:color w:val="000000"/>
          <w:sz w:val="24"/>
          <w:szCs w:val="24"/>
          <w:highlight w:val="none"/>
          <w:lang w:eastAsia="zh-CN"/>
        </w:rPr>
        <w:t>冲洗</w:t>
      </w:r>
      <w:r>
        <w:rPr>
          <w:rFonts w:hint="eastAsia" w:ascii="仿宋" w:hAnsi="仿宋" w:eastAsia="仿宋" w:cs="仿宋"/>
          <w:color w:val="000000"/>
          <w:sz w:val="24"/>
          <w:szCs w:val="24"/>
          <w:highlight w:val="none"/>
        </w:rPr>
        <w:t>干净。</w:t>
      </w:r>
    </w:p>
    <w:p w14:paraId="4DFAC336">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.4蓄热元件保证彻底干燥</w:t>
      </w:r>
    </w:p>
    <w:p w14:paraId="08D13FAC">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.5冲洗过后波纹板无外力损伤、无损坏。</w:t>
      </w:r>
    </w:p>
    <w:p w14:paraId="3FFC8DD3">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.6启动后各人孔门不得由漏风、漏灰现象。</w:t>
      </w:r>
    </w:p>
    <w:p w14:paraId="2007DF05">
      <w:pPr>
        <w:widowControl/>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.7</w:t>
      </w:r>
      <w:r>
        <w:rPr>
          <w:rFonts w:hint="eastAsia" w:ascii="仿宋" w:hAnsi="仿宋" w:eastAsia="仿宋" w:cs="仿宋"/>
          <w:color w:val="auto"/>
          <w:sz w:val="24"/>
          <w:szCs w:val="24"/>
          <w:highlight w:val="none"/>
          <w:lang w:val="en-US" w:eastAsia="zh-CN"/>
        </w:rPr>
        <w:t>空预器冲洗完成后</w:t>
      </w:r>
      <w:r>
        <w:rPr>
          <w:rFonts w:hint="eastAsia" w:ascii="仿宋" w:hAnsi="仿宋" w:eastAsia="仿宋" w:cs="仿宋"/>
          <w:color w:val="000000"/>
          <w:sz w:val="24"/>
          <w:szCs w:val="24"/>
        </w:rPr>
        <w:t>空预器烟气侧进、出口压差在1.</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KPa内认为质量合</w:t>
      </w:r>
      <w:r>
        <w:rPr>
          <w:rFonts w:hint="eastAsia" w:ascii="仿宋" w:hAnsi="仿宋" w:eastAsia="仿宋" w:cs="仿宋"/>
          <w:color w:val="auto"/>
          <w:sz w:val="24"/>
          <w:szCs w:val="24"/>
          <w:highlight w:val="none"/>
        </w:rPr>
        <w:t>格；差压在1.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KPa之间，</w:t>
      </w:r>
      <w:r>
        <w:rPr>
          <w:rFonts w:hint="eastAsia" w:ascii="仿宋" w:hAnsi="仿宋" w:eastAsia="仿宋" w:cs="仿宋"/>
          <w:color w:val="auto"/>
          <w:sz w:val="24"/>
          <w:szCs w:val="24"/>
          <w:highlight w:val="none"/>
          <w:lang w:val="en-US" w:eastAsia="zh-CN"/>
        </w:rPr>
        <w:t>考核单次合同价5%</w:t>
      </w:r>
      <w:r>
        <w:rPr>
          <w:rFonts w:hint="eastAsia" w:ascii="仿宋" w:hAnsi="仿宋" w:eastAsia="仿宋" w:cs="仿宋"/>
          <w:color w:val="auto"/>
          <w:sz w:val="24"/>
          <w:szCs w:val="24"/>
          <w:highlight w:val="none"/>
        </w:rPr>
        <w:t>；差压大于1.</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KPa，</w:t>
      </w:r>
      <w:r>
        <w:rPr>
          <w:rFonts w:hint="eastAsia" w:ascii="仿宋" w:hAnsi="仿宋" w:eastAsia="仿宋" w:cs="仿宋"/>
          <w:color w:val="auto"/>
          <w:sz w:val="24"/>
          <w:szCs w:val="24"/>
          <w:highlight w:val="none"/>
          <w:lang w:val="en-US" w:eastAsia="zh-CN"/>
        </w:rPr>
        <w:t>考核单次合同价10%</w:t>
      </w:r>
      <w:r>
        <w:rPr>
          <w:rFonts w:hint="eastAsia" w:ascii="仿宋" w:hAnsi="仿宋" w:eastAsia="仿宋" w:cs="仿宋"/>
          <w:color w:val="auto"/>
          <w:sz w:val="24"/>
          <w:szCs w:val="24"/>
          <w:highlight w:val="none"/>
        </w:rPr>
        <w:t>；</w:t>
      </w:r>
    </w:p>
    <w:p w14:paraId="2FBBFFCD">
      <w:pPr>
        <w:spacing w:line="360" w:lineRule="auto"/>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6</w:t>
      </w:r>
      <w:r>
        <w:rPr>
          <w:rFonts w:hint="eastAsia" w:ascii="仿宋" w:hAnsi="仿宋" w:eastAsia="仿宋" w:cs="仿宋"/>
          <w:b/>
          <w:color w:val="000000"/>
          <w:sz w:val="24"/>
          <w:szCs w:val="24"/>
        </w:rPr>
        <w:t xml:space="preserve">. </w:t>
      </w:r>
      <w:r>
        <w:rPr>
          <w:rFonts w:hint="eastAsia" w:ascii="仿宋" w:hAnsi="仿宋" w:eastAsia="仿宋" w:cs="仿宋"/>
          <w:b/>
          <w:color w:val="000000"/>
          <w:sz w:val="24"/>
          <w:szCs w:val="24"/>
          <w:lang w:val="en-US" w:eastAsia="zh-CN"/>
        </w:rPr>
        <w:t>项目</w:t>
      </w:r>
      <w:r>
        <w:rPr>
          <w:rFonts w:hint="eastAsia" w:ascii="仿宋" w:hAnsi="仿宋" w:eastAsia="仿宋" w:cs="仿宋"/>
          <w:b/>
          <w:color w:val="000000"/>
          <w:sz w:val="24"/>
          <w:szCs w:val="24"/>
        </w:rPr>
        <w:t>验收方式、条件和地点</w:t>
      </w:r>
    </w:p>
    <w:p w14:paraId="0F4F645C">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.1验收方式：双方共同验收</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按照检修规程执行三级验收制度。</w:t>
      </w:r>
    </w:p>
    <w:p w14:paraId="3964176B">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 xml:space="preserve">.2 </w:t>
      </w:r>
      <w:r>
        <w:rPr>
          <w:rFonts w:hint="eastAsia" w:ascii="仿宋" w:hAnsi="仿宋" w:eastAsia="仿宋" w:cs="仿宋"/>
          <w:color w:val="000000"/>
          <w:sz w:val="24"/>
          <w:szCs w:val="24"/>
        </w:rPr>
        <w:t>验收条件：冲洗</w:t>
      </w:r>
      <w:r>
        <w:rPr>
          <w:rFonts w:hint="eastAsia" w:ascii="仿宋" w:hAnsi="仿宋" w:eastAsia="仿宋" w:cs="仿宋"/>
          <w:color w:val="000000"/>
          <w:sz w:val="24"/>
          <w:szCs w:val="24"/>
          <w:lang w:val="en-US" w:eastAsia="zh-CN"/>
        </w:rPr>
        <w:t>完成后</w:t>
      </w:r>
      <w:r>
        <w:rPr>
          <w:rFonts w:hint="eastAsia" w:ascii="仿宋" w:hAnsi="仿宋" w:eastAsia="仿宋" w:cs="仿宋"/>
          <w:color w:val="000000"/>
          <w:sz w:val="24"/>
          <w:szCs w:val="24"/>
        </w:rPr>
        <w:t>冷态验收合格，</w:t>
      </w:r>
      <w:r>
        <w:rPr>
          <w:rFonts w:hint="eastAsia" w:ascii="仿宋" w:hAnsi="仿宋" w:eastAsia="仿宋" w:cs="仿宋"/>
          <w:color w:val="000000"/>
          <w:sz w:val="24"/>
          <w:szCs w:val="24"/>
          <w:lang w:val="en-US" w:eastAsia="zh-CN"/>
        </w:rPr>
        <w:t>锅炉</w:t>
      </w:r>
      <w:r>
        <w:rPr>
          <w:rFonts w:hint="eastAsia" w:ascii="仿宋" w:hAnsi="仿宋" w:eastAsia="仿宋" w:cs="仿宋"/>
          <w:color w:val="000000"/>
          <w:sz w:val="24"/>
          <w:szCs w:val="24"/>
        </w:rPr>
        <w:t>启动后热态验收</w:t>
      </w:r>
      <w:r>
        <w:rPr>
          <w:rFonts w:hint="eastAsia" w:ascii="仿宋" w:hAnsi="仿宋" w:eastAsia="仿宋" w:cs="仿宋"/>
          <w:color w:val="000000"/>
          <w:sz w:val="24"/>
          <w:szCs w:val="24"/>
          <w:lang w:val="en-US" w:eastAsia="zh-CN"/>
        </w:rPr>
        <w:t>空预器</w:t>
      </w:r>
      <w:r>
        <w:rPr>
          <w:rFonts w:hint="eastAsia" w:ascii="仿宋" w:hAnsi="仿宋" w:eastAsia="仿宋" w:cs="仿宋"/>
          <w:color w:val="000000"/>
          <w:sz w:val="24"/>
          <w:szCs w:val="24"/>
        </w:rPr>
        <w:t>烟气侧进、出口压差运行参数</w:t>
      </w:r>
      <w:r>
        <w:rPr>
          <w:rFonts w:hint="eastAsia" w:ascii="仿宋" w:hAnsi="仿宋" w:eastAsia="仿宋" w:cs="仿宋"/>
          <w:color w:val="auto"/>
          <w:sz w:val="24"/>
          <w:szCs w:val="24"/>
        </w:rPr>
        <w:t>（一个月</w:t>
      </w:r>
      <w:r>
        <w:rPr>
          <w:rFonts w:hint="eastAsia" w:ascii="仿宋" w:hAnsi="仿宋" w:eastAsia="仿宋" w:cs="仿宋"/>
          <w:color w:val="auto"/>
          <w:sz w:val="24"/>
          <w:szCs w:val="24"/>
          <w:lang w:val="en-US" w:eastAsia="zh-CN"/>
        </w:rPr>
        <w:t>内</w:t>
      </w:r>
      <w:r>
        <w:rPr>
          <w:rFonts w:hint="eastAsia" w:ascii="仿宋" w:hAnsi="仿宋" w:eastAsia="仿宋" w:cs="仿宋"/>
          <w:color w:val="auto"/>
          <w:sz w:val="24"/>
          <w:szCs w:val="24"/>
        </w:rPr>
        <w:t>，机组负荷</w:t>
      </w:r>
      <w:r>
        <w:rPr>
          <w:rFonts w:hint="eastAsia" w:ascii="仿宋" w:hAnsi="仿宋" w:eastAsia="仿宋" w:cs="仿宋"/>
          <w:color w:val="auto"/>
          <w:sz w:val="24"/>
          <w:szCs w:val="24"/>
          <w:lang w:val="en-US" w:eastAsia="zh-CN"/>
        </w:rPr>
        <w:t>在500MW—550MW工况</w:t>
      </w:r>
      <w:r>
        <w:rPr>
          <w:rFonts w:hint="eastAsia" w:ascii="仿宋" w:hAnsi="仿宋" w:eastAsia="仿宋" w:cs="仿宋"/>
          <w:color w:val="auto"/>
          <w:sz w:val="24"/>
          <w:szCs w:val="24"/>
        </w:rPr>
        <w:t>下）</w:t>
      </w:r>
      <w:r>
        <w:rPr>
          <w:rFonts w:hint="eastAsia" w:ascii="仿宋" w:hAnsi="仿宋" w:eastAsia="仿宋" w:cs="仿宋"/>
          <w:color w:val="auto"/>
          <w:sz w:val="24"/>
          <w:szCs w:val="24"/>
          <w:lang w:eastAsia="zh-CN"/>
        </w:rPr>
        <w:t>。</w:t>
      </w:r>
    </w:p>
    <w:p w14:paraId="45B39B2C">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.3 验收地点：施工现场。</w:t>
      </w:r>
    </w:p>
    <w:p w14:paraId="5AFB6F14">
      <w:pPr>
        <w:spacing w:line="360" w:lineRule="auto"/>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7</w:t>
      </w:r>
      <w:r>
        <w:rPr>
          <w:rFonts w:hint="eastAsia" w:ascii="仿宋" w:hAnsi="仿宋" w:eastAsia="仿宋" w:cs="仿宋"/>
          <w:b/>
          <w:color w:val="000000"/>
          <w:sz w:val="24"/>
          <w:szCs w:val="24"/>
        </w:rPr>
        <w:t>. 责任和义务</w:t>
      </w:r>
    </w:p>
    <w:p w14:paraId="2B58FE3E">
      <w:pPr>
        <w:spacing w:line="360" w:lineRule="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.1 </w:t>
      </w:r>
      <w:r>
        <w:rPr>
          <w:rFonts w:hint="eastAsia" w:ascii="仿宋" w:hAnsi="仿宋" w:eastAsia="仿宋" w:cs="仿宋"/>
          <w:color w:val="000000"/>
          <w:sz w:val="24"/>
          <w:szCs w:val="24"/>
          <w:lang w:eastAsia="zh-CN"/>
        </w:rPr>
        <w:t>招标方</w:t>
      </w:r>
    </w:p>
    <w:p w14:paraId="68B1101A">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.1.1  向</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提供检修必须的图纸和技术资料。</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需要复制时，费用自理。除了严格用于合同目的，</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不能在未得到</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批准的情况下，让第三者使用或向第三方转让。合同到期后，</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应将所有根据合同提供的图纸、规范、及其它文件退还</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w:t>
      </w:r>
    </w:p>
    <w:p w14:paraId="7F9FE0F1">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.1.2  设备计划检修时间变更时,至少在计划检修开工日前通知</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。抢修应尽量提前通知</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，以便</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及时组织人力物力；</w:t>
      </w:r>
    </w:p>
    <w:p w14:paraId="39132360">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.1.3  为</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工作提供必要的条件，如尽可能提供检修场地、专用工器具及材料的放置场地及用水用电等。</w:t>
      </w:r>
    </w:p>
    <w:p w14:paraId="4F3D6518">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.1.4  对检修过程中的质量进行验收，如有整改意见应及时通知</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w:t>
      </w:r>
    </w:p>
    <w:p w14:paraId="49D57EB3">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.1.5  为</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在现场尽可能提供便利。</w:t>
      </w:r>
    </w:p>
    <w:p w14:paraId="5F7BE7CF">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.1.6  </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有权对</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检修工程的质量随时进行监督检查，但并不因此免除</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对检修质量的责任。</w:t>
      </w:r>
    </w:p>
    <w:p w14:paraId="1BDA6389">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.1.7 </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管理人员具有参与</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检修工程管理工作的权利。</w:t>
      </w:r>
    </w:p>
    <w:p w14:paraId="431B38E2">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(a)参与处理与本检修工程有关的其他技术问题和经济问题。</w:t>
      </w:r>
    </w:p>
    <w:p w14:paraId="7970A5BB">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(b)如果发生危及设备或人身安全的非常紧急情况，</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管理人员有权发布处理危机状况所必需的指令或命令，</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应立即实施一切工作或按</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管理人员命令立即处置危机状况。</w:t>
      </w:r>
    </w:p>
    <w:p w14:paraId="427E905B">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(c)</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管理人员有权要求</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立即从工程中撤换其在</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认定行为不轨、履行其职责时不能胜任或玩忽职守的人员，这种人员一旦撤换，无</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管理人员的认可不得重新在现场工作。任何被如此撤换掉的人员应从速被替换，并不得因此而影响相关检修工作的顺利开展。</w:t>
      </w:r>
    </w:p>
    <w:p w14:paraId="4C79E8C9">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(d)若</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对</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某项工作的效率、人员机具的配置不满意，及时提出后</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仍不积极整改，可能会导致该项工作延误，则</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有权向</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宣布立即中止</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的该项工作，并自行委派其它队伍接手。由此发生的费用将全部由</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承担，并记入对</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的考核。</w:t>
      </w:r>
    </w:p>
    <w:p w14:paraId="1B07B7D0">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.1.8</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应为</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的检修工作提供便利条件。</w:t>
      </w:r>
    </w:p>
    <w:p w14:paraId="3EF935B1">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.2 </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职责：</w:t>
      </w:r>
    </w:p>
    <w:p w14:paraId="0595CF85">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.2.1 </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负责编制本工程施工组织方案、安全措施，严格执行电力行业有关标准规范，按</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进度要求，圆满完成检修任务。</w:t>
      </w:r>
    </w:p>
    <w:p w14:paraId="7BE0DC9F">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.2.2 </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应根据设备检修需要，在现场设立完善的组织管理机构，并将其纳入</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的生产指挥管理系统，同时应遵守</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的各项管理考核制度。</w:t>
      </w:r>
    </w:p>
    <w:p w14:paraId="47BD19FA">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.2.3 </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在现场工作人员的数量和素质，应能满足现场设备检修需要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遵守《电业安全工作规程》，高压水射流作业须持证或经专门培训。</w:t>
      </w:r>
    </w:p>
    <w:p w14:paraId="1194F64A">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 xml:space="preserve">.2.4 </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必须贯彻执行“安全第一、预防为主、综合治理”的方针，严格执行电力行业《电力生产安全工作规程》、《安全生产工作规定》、《防止电力生产重大事故的二十五项重点要求》和</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有关安全工作的规定。</w:t>
      </w:r>
    </w:p>
    <w:p w14:paraId="049F1642">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.2.5</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对人身及设备的安全性负责</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人员在现场工作必须遵守安全工作规程。</w:t>
      </w:r>
    </w:p>
    <w:p w14:paraId="235CCEBB">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.2.6</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在施工期间必须严格遵守各执行《安全生产》各项规章制度，接受</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监督、检查和指导，对违章行为</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有权进行考核。</w:t>
      </w:r>
    </w:p>
    <w:p w14:paraId="321D782B">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.2.7负责区域堆放材料的整洁与卫生，地面应无垃圾，作业点都应做到“工完、料净、场地清”。</w:t>
      </w:r>
    </w:p>
    <w:p w14:paraId="163B2B33">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.2.8在施工过程中，</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原因造成的人身伤亡和设备事故，由</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自行承担。</w:t>
      </w:r>
    </w:p>
    <w:p w14:paraId="19910BA6">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.2.9施工过程中所有的设备、工器具、消耗性材料等均有</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提供。</w:t>
      </w:r>
    </w:p>
    <w:p w14:paraId="18D9B804">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.2.10开工前须和</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 xml:space="preserve">签订安全和文明生产协议。 </w:t>
      </w:r>
    </w:p>
    <w:p w14:paraId="1AEACD82">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负责办理施工期间的施工人员的人身保险并承担相关费用，及时交纳各种税费。</w:t>
      </w:r>
    </w:p>
    <w:p w14:paraId="464C12EC">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及时向</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报送</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要求的各种技术资料。</w:t>
      </w:r>
    </w:p>
    <w:p w14:paraId="062B7C2A">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凡是</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提出的合理化建议，</w:t>
      </w:r>
      <w:r>
        <w:rPr>
          <w:rFonts w:hint="eastAsia" w:ascii="仿宋" w:hAnsi="仿宋" w:eastAsia="仿宋" w:cs="仿宋"/>
          <w:color w:val="000000"/>
          <w:sz w:val="24"/>
          <w:szCs w:val="24"/>
          <w:lang w:eastAsia="zh-CN"/>
        </w:rPr>
        <w:t>投标方</w:t>
      </w:r>
      <w:r>
        <w:rPr>
          <w:rFonts w:hint="eastAsia" w:ascii="仿宋" w:hAnsi="仿宋" w:eastAsia="仿宋" w:cs="仿宋"/>
          <w:color w:val="000000"/>
          <w:sz w:val="24"/>
          <w:szCs w:val="24"/>
        </w:rPr>
        <w:t>必须执行。</w:t>
      </w:r>
    </w:p>
    <w:p w14:paraId="415F4074">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按</w:t>
      </w:r>
      <w:r>
        <w:rPr>
          <w:rFonts w:hint="eastAsia" w:ascii="仿宋" w:hAnsi="仿宋" w:eastAsia="仿宋" w:cs="仿宋"/>
          <w:color w:val="000000"/>
          <w:sz w:val="24"/>
          <w:szCs w:val="24"/>
          <w:lang w:eastAsia="zh-CN"/>
        </w:rPr>
        <w:t>招标方</w:t>
      </w:r>
      <w:r>
        <w:rPr>
          <w:rFonts w:hint="eastAsia" w:ascii="仿宋" w:hAnsi="仿宋" w:eastAsia="仿宋" w:cs="仿宋"/>
          <w:color w:val="000000"/>
          <w:sz w:val="24"/>
          <w:szCs w:val="24"/>
        </w:rPr>
        <w:t>要求组织、安排、发放施工人员服装、劳保用品、安全设施及施工用工具。</w:t>
      </w:r>
    </w:p>
    <w:p w14:paraId="46A05ABB">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负责自身人员的药品及医疗费用。</w:t>
      </w:r>
    </w:p>
    <w:p w14:paraId="4800280A">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负责施工人员及携带工器具的转移费用。</w:t>
      </w:r>
    </w:p>
    <w:p w14:paraId="5F1D6AE4">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负责自身临时设施的搭建及完工后的拆除，</w:t>
      </w:r>
      <w:r>
        <w:rPr>
          <w:rFonts w:hint="eastAsia" w:ascii="仿宋" w:hAnsi="仿宋" w:eastAsia="仿宋" w:cs="仿宋"/>
          <w:color w:val="000000"/>
          <w:sz w:val="24"/>
          <w:szCs w:val="24"/>
          <w:lang w:val="en-US" w:eastAsia="zh-CN"/>
        </w:rPr>
        <w:t>并</w:t>
      </w:r>
      <w:r>
        <w:rPr>
          <w:rFonts w:hint="eastAsia" w:ascii="仿宋" w:hAnsi="仿宋" w:eastAsia="仿宋" w:cs="仿宋"/>
          <w:color w:val="000000"/>
          <w:sz w:val="24"/>
          <w:szCs w:val="24"/>
        </w:rPr>
        <w:t>承担其费用。</w:t>
      </w:r>
    </w:p>
    <w:p w14:paraId="5E7BBF2C">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承担给第三方造成污染的责任和费用。</w:t>
      </w:r>
    </w:p>
    <w:p w14:paraId="38CCAB34">
      <w:pPr>
        <w:spacing w:line="360" w:lineRule="auto"/>
        <w:rPr>
          <w:rFonts w:hint="eastAsia" w:ascii="仿宋" w:hAnsi="仿宋" w:eastAsia="仿宋" w:cs="仿宋"/>
          <w:b/>
          <w:sz w:val="24"/>
          <w:szCs w:val="24"/>
        </w:rPr>
      </w:pPr>
      <w:r>
        <w:rPr>
          <w:rFonts w:hint="eastAsia" w:ascii="仿宋" w:hAnsi="仿宋" w:eastAsia="仿宋" w:cs="仿宋"/>
          <w:b/>
          <w:sz w:val="24"/>
          <w:szCs w:val="24"/>
          <w:lang w:val="en-US" w:eastAsia="zh-CN"/>
        </w:rPr>
        <w:t>8</w:t>
      </w:r>
      <w:r>
        <w:rPr>
          <w:rFonts w:hint="eastAsia" w:ascii="仿宋" w:hAnsi="仿宋" w:eastAsia="仿宋" w:cs="仿宋"/>
          <w:b/>
          <w:sz w:val="24"/>
          <w:szCs w:val="24"/>
        </w:rPr>
        <w:t xml:space="preserve">. </w:t>
      </w:r>
      <w:r>
        <w:rPr>
          <w:rFonts w:hint="eastAsia" w:ascii="仿宋" w:hAnsi="仿宋" w:eastAsia="仿宋" w:cs="仿宋"/>
          <w:b/>
          <w:sz w:val="24"/>
          <w:szCs w:val="24"/>
          <w:lang w:val="en-US" w:eastAsia="zh-CN"/>
        </w:rPr>
        <w:t>服务保障及</w:t>
      </w:r>
      <w:r>
        <w:rPr>
          <w:rFonts w:hint="eastAsia" w:ascii="仿宋" w:hAnsi="仿宋" w:eastAsia="仿宋" w:cs="仿宋"/>
          <w:b/>
          <w:sz w:val="24"/>
          <w:szCs w:val="24"/>
        </w:rPr>
        <w:t>违约责任</w:t>
      </w:r>
    </w:p>
    <w:p w14:paraId="4A3793F6">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rPr>
        <w:t>.1接到招标方冲洗通知后，</w:t>
      </w:r>
      <w:r>
        <w:rPr>
          <w:rFonts w:hint="eastAsia" w:ascii="仿宋" w:hAnsi="仿宋" w:eastAsia="仿宋" w:cs="仿宋"/>
          <w:sz w:val="24"/>
          <w:szCs w:val="24"/>
          <w:lang w:val="en-US" w:eastAsia="zh-CN"/>
        </w:rPr>
        <w:t>投标方应</w:t>
      </w:r>
      <w:r>
        <w:rPr>
          <w:rFonts w:hint="eastAsia" w:ascii="仿宋" w:hAnsi="仿宋" w:eastAsia="仿宋" w:cs="仿宋"/>
          <w:sz w:val="24"/>
          <w:szCs w:val="24"/>
        </w:rPr>
        <w:t>在48小时内人员设备到场并完成准备</w:t>
      </w:r>
      <w:r>
        <w:rPr>
          <w:rFonts w:hint="eastAsia" w:ascii="仿宋" w:hAnsi="仿宋" w:eastAsia="仿宋" w:cs="仿宋"/>
          <w:sz w:val="24"/>
          <w:szCs w:val="24"/>
          <w:lang w:val="en-US" w:eastAsia="zh-CN"/>
        </w:rPr>
        <w:t>工作，投标</w:t>
      </w:r>
      <w:r>
        <w:rPr>
          <w:rFonts w:hint="eastAsia" w:ascii="仿宋" w:hAnsi="仿宋" w:eastAsia="仿宋" w:cs="仿宋"/>
          <w:sz w:val="24"/>
          <w:szCs w:val="24"/>
        </w:rPr>
        <w:t>方未按</w:t>
      </w:r>
      <w:r>
        <w:rPr>
          <w:rFonts w:hint="eastAsia" w:ascii="仿宋" w:hAnsi="仿宋" w:eastAsia="仿宋" w:cs="仿宋"/>
          <w:sz w:val="24"/>
          <w:szCs w:val="24"/>
          <w:lang w:val="en-US" w:eastAsia="zh-CN"/>
        </w:rPr>
        <w:t>招标</w:t>
      </w:r>
      <w:r>
        <w:rPr>
          <w:rFonts w:hint="eastAsia" w:ascii="仿宋" w:hAnsi="仿宋" w:eastAsia="仿宋" w:cs="仿宋"/>
          <w:sz w:val="24"/>
          <w:szCs w:val="24"/>
        </w:rPr>
        <w:t>方要求，在规定时间内完成冲洗工作，造成机组启动延误时，所导致的一切损失由</w:t>
      </w:r>
      <w:r>
        <w:rPr>
          <w:rFonts w:hint="eastAsia" w:ascii="仿宋" w:hAnsi="仿宋" w:eastAsia="仿宋" w:cs="仿宋"/>
          <w:sz w:val="24"/>
          <w:szCs w:val="24"/>
          <w:lang w:val="en-US" w:eastAsia="zh-CN"/>
        </w:rPr>
        <w:t>投标</w:t>
      </w:r>
      <w:r>
        <w:rPr>
          <w:rFonts w:hint="eastAsia" w:ascii="仿宋" w:hAnsi="仿宋" w:eastAsia="仿宋" w:cs="仿宋"/>
          <w:sz w:val="24"/>
          <w:szCs w:val="24"/>
        </w:rPr>
        <w:t>方负全责</w:t>
      </w:r>
      <w:r>
        <w:rPr>
          <w:rFonts w:hint="eastAsia" w:ascii="仿宋" w:hAnsi="仿宋" w:eastAsia="仿宋" w:cs="仿宋"/>
          <w:sz w:val="24"/>
          <w:szCs w:val="24"/>
          <w:lang w:val="en-US" w:eastAsia="zh-CN"/>
        </w:rPr>
        <w:t>并</w:t>
      </w:r>
      <w:r>
        <w:rPr>
          <w:rFonts w:hint="eastAsia" w:ascii="仿宋" w:hAnsi="仿宋" w:eastAsia="仿宋" w:cs="仿宋"/>
          <w:sz w:val="24"/>
          <w:szCs w:val="24"/>
        </w:rPr>
        <w:t>进行赔偿</w:t>
      </w:r>
      <w:r>
        <w:rPr>
          <w:rFonts w:hint="eastAsia" w:ascii="仿宋" w:hAnsi="仿宋" w:eastAsia="仿宋" w:cs="仿宋"/>
          <w:sz w:val="24"/>
          <w:szCs w:val="24"/>
          <w:lang w:eastAsia="zh-CN"/>
        </w:rPr>
        <w:t>；</w:t>
      </w:r>
    </w:p>
    <w:p w14:paraId="0C9A5E13">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8.2</w:t>
      </w:r>
      <w:r>
        <w:rPr>
          <w:rFonts w:hint="eastAsia" w:ascii="仿宋" w:hAnsi="仿宋" w:eastAsia="仿宋" w:cs="仿宋"/>
          <w:sz w:val="24"/>
          <w:szCs w:val="24"/>
        </w:rPr>
        <w:t>在协议期内投标方</w:t>
      </w:r>
      <w:r>
        <w:rPr>
          <w:rFonts w:hint="eastAsia" w:ascii="仿宋" w:hAnsi="仿宋" w:eastAsia="仿宋" w:cs="仿宋"/>
          <w:sz w:val="24"/>
          <w:szCs w:val="24"/>
          <w:lang w:val="en-US" w:eastAsia="zh-CN"/>
        </w:rPr>
        <w:t>必须</w:t>
      </w:r>
      <w:r>
        <w:rPr>
          <w:rFonts w:hint="eastAsia" w:ascii="仿宋" w:hAnsi="仿宋" w:eastAsia="仿宋" w:cs="仿宋"/>
          <w:sz w:val="24"/>
          <w:szCs w:val="24"/>
        </w:rPr>
        <w:t>保持固定的项目管理团队、高压冲洗设备台数及备品备件，不得随意撤场；</w:t>
      </w:r>
    </w:p>
    <w:p w14:paraId="6FECF718">
      <w:pPr>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8.3</w:t>
      </w:r>
      <w:r>
        <w:rPr>
          <w:rFonts w:hint="eastAsia" w:ascii="仿宋" w:hAnsi="仿宋" w:eastAsia="仿宋" w:cs="仿宋"/>
          <w:sz w:val="24"/>
          <w:szCs w:val="24"/>
        </w:rPr>
        <w:t>按次验收、按次结算，冲洗完工冷态验收合格，机组启动后热态验收合格后，付单次合同价的</w:t>
      </w:r>
      <w:r>
        <w:rPr>
          <w:rFonts w:hint="eastAsia" w:ascii="仿宋" w:hAnsi="仿宋" w:eastAsia="仿宋" w:cs="仿宋"/>
          <w:sz w:val="24"/>
          <w:szCs w:val="24"/>
          <w:lang w:val="en-US" w:eastAsia="zh-CN"/>
        </w:rPr>
        <w:t>90</w:t>
      </w:r>
      <w:r>
        <w:rPr>
          <w:rFonts w:hint="eastAsia" w:ascii="仿宋" w:hAnsi="仿宋" w:eastAsia="仿宋" w:cs="仿宋"/>
          <w:sz w:val="24"/>
          <w:szCs w:val="24"/>
        </w:rPr>
        <w:t>%</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预留10%在12个月内或本锅炉空预器下次冲洗前无息支付，以先到为准；</w:t>
      </w:r>
    </w:p>
    <w:p w14:paraId="125D3B48">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8.2</w:t>
      </w:r>
      <w:r>
        <w:rPr>
          <w:rFonts w:hint="eastAsia" w:ascii="仿宋" w:hAnsi="仿宋" w:eastAsia="仿宋" w:cs="仿宋"/>
          <w:sz w:val="24"/>
          <w:szCs w:val="24"/>
          <w:lang w:eastAsia="zh-CN"/>
        </w:rPr>
        <w:t>冲洗</w:t>
      </w:r>
      <w:r>
        <w:rPr>
          <w:rFonts w:hint="eastAsia" w:ascii="仿宋" w:hAnsi="仿宋" w:eastAsia="仿宋" w:cs="仿宋"/>
          <w:sz w:val="24"/>
          <w:szCs w:val="24"/>
        </w:rPr>
        <w:t>质量不符合合同规定，</w:t>
      </w:r>
      <w:r>
        <w:rPr>
          <w:rFonts w:hint="eastAsia" w:ascii="仿宋" w:hAnsi="仿宋" w:eastAsia="仿宋" w:cs="仿宋"/>
          <w:sz w:val="24"/>
          <w:szCs w:val="24"/>
          <w:lang w:eastAsia="zh-CN"/>
        </w:rPr>
        <w:t>投标方</w:t>
      </w:r>
      <w:r>
        <w:rPr>
          <w:rFonts w:hint="eastAsia" w:ascii="仿宋" w:hAnsi="仿宋" w:eastAsia="仿宋" w:cs="仿宋"/>
          <w:sz w:val="24"/>
          <w:szCs w:val="24"/>
        </w:rPr>
        <w:t>负责无偿返工，若返工后仍不能满足合同要求，</w:t>
      </w:r>
      <w:r>
        <w:rPr>
          <w:rFonts w:hint="eastAsia" w:ascii="仿宋" w:hAnsi="仿宋" w:eastAsia="仿宋" w:cs="仿宋"/>
          <w:sz w:val="24"/>
          <w:szCs w:val="24"/>
          <w:lang w:eastAsia="zh-CN"/>
        </w:rPr>
        <w:t>招标方</w:t>
      </w:r>
      <w:r>
        <w:rPr>
          <w:rFonts w:hint="eastAsia" w:ascii="仿宋" w:hAnsi="仿宋" w:eastAsia="仿宋" w:cs="仿宋"/>
          <w:sz w:val="24"/>
          <w:szCs w:val="24"/>
        </w:rPr>
        <w:t>有权单方面中止合同，并要求</w:t>
      </w:r>
      <w:r>
        <w:rPr>
          <w:rFonts w:hint="eastAsia" w:ascii="仿宋" w:hAnsi="仿宋" w:eastAsia="仿宋" w:cs="仿宋"/>
          <w:sz w:val="24"/>
          <w:szCs w:val="24"/>
          <w:lang w:eastAsia="zh-CN"/>
        </w:rPr>
        <w:t>投标方</w:t>
      </w:r>
      <w:r>
        <w:rPr>
          <w:rFonts w:hint="eastAsia" w:ascii="仿宋" w:hAnsi="仿宋" w:eastAsia="仿宋" w:cs="仿宋"/>
          <w:sz w:val="24"/>
          <w:szCs w:val="24"/>
        </w:rPr>
        <w:t>赔偿损失；</w:t>
      </w:r>
    </w:p>
    <w:p w14:paraId="4E871476">
      <w:pPr>
        <w:spacing w:line="360" w:lineRule="auto"/>
        <w:rPr>
          <w:rFonts w:hint="eastAsia" w:ascii="仿宋" w:hAnsi="仿宋" w:eastAsia="仿宋" w:cs="仿宋"/>
          <w:color w:val="000000"/>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由于</w:t>
      </w:r>
      <w:r>
        <w:rPr>
          <w:rFonts w:hint="eastAsia" w:ascii="仿宋" w:hAnsi="仿宋" w:eastAsia="仿宋" w:cs="仿宋"/>
          <w:sz w:val="24"/>
          <w:szCs w:val="24"/>
          <w:lang w:eastAsia="zh-CN"/>
        </w:rPr>
        <w:t>投标方</w:t>
      </w:r>
      <w:r>
        <w:rPr>
          <w:rFonts w:hint="eastAsia" w:ascii="仿宋" w:hAnsi="仿宋" w:eastAsia="仿宋" w:cs="仿宋"/>
          <w:sz w:val="24"/>
          <w:szCs w:val="24"/>
        </w:rPr>
        <w:t>责任，如经第一次验收试验(由于</w:t>
      </w:r>
      <w:r>
        <w:rPr>
          <w:rFonts w:hint="eastAsia" w:ascii="仿宋" w:hAnsi="仿宋" w:eastAsia="仿宋" w:cs="仿宋"/>
          <w:sz w:val="24"/>
          <w:szCs w:val="24"/>
          <w:lang w:eastAsia="zh-CN"/>
        </w:rPr>
        <w:t>投标方</w:t>
      </w:r>
      <w:r>
        <w:rPr>
          <w:rFonts w:hint="eastAsia" w:ascii="仿宋" w:hAnsi="仿宋" w:eastAsia="仿宋" w:cs="仿宋"/>
          <w:sz w:val="24"/>
          <w:szCs w:val="24"/>
        </w:rPr>
        <w:t>原因)仍不能达到本合同所规定的一项或多项保证指标时，</w:t>
      </w:r>
      <w:r>
        <w:rPr>
          <w:rFonts w:hint="eastAsia" w:ascii="仿宋" w:hAnsi="仿宋" w:eastAsia="仿宋" w:cs="仿宋"/>
          <w:sz w:val="24"/>
          <w:szCs w:val="24"/>
          <w:lang w:eastAsia="zh-CN"/>
        </w:rPr>
        <w:t>投标方</w:t>
      </w:r>
      <w:r>
        <w:rPr>
          <w:rFonts w:hint="eastAsia" w:ascii="仿宋" w:hAnsi="仿宋" w:eastAsia="仿宋" w:cs="仿宋"/>
          <w:sz w:val="24"/>
          <w:szCs w:val="24"/>
        </w:rPr>
        <w:t>应承担违约金。</w:t>
      </w:r>
    </w:p>
    <w:p w14:paraId="5F50532D">
      <w:pPr>
        <w:spacing w:line="500" w:lineRule="exact"/>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9.</w:t>
      </w:r>
      <w:r>
        <w:rPr>
          <w:rFonts w:hint="eastAsia" w:ascii="仿宋" w:hAnsi="仿宋" w:eastAsia="仿宋" w:cs="仿宋"/>
          <w:b/>
          <w:bCs/>
          <w:color w:val="auto"/>
          <w:sz w:val="24"/>
          <w:szCs w:val="24"/>
        </w:rPr>
        <w:t>资质要求</w:t>
      </w:r>
    </w:p>
    <w:p w14:paraId="21C8BAD2">
      <w:pPr>
        <w:widowControl/>
        <w:spacing w:line="500" w:lineRule="exact"/>
        <w:ind w:firstLine="472" w:firstLineChars="197"/>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1)投标方必须是在中华人民共和国境内注册的、具有独立法人资格，并在人员、技术、设备、资金方面具有完成本项目合同的能力。</w:t>
      </w:r>
    </w:p>
    <w:p w14:paraId="24752E2D">
      <w:pPr>
        <w:spacing w:line="500" w:lineRule="exact"/>
        <w:ind w:firstLine="480" w:firstLineChars="20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2）投标方须具有并提供有效的安全生产许可证，</w:t>
      </w:r>
      <w:r>
        <w:rPr>
          <w:rFonts w:hint="eastAsia" w:ascii="仿宋" w:hAnsi="仿宋" w:eastAsia="仿宋" w:cs="仿宋"/>
          <w:b w:val="0"/>
          <w:bCs w:val="0"/>
          <w:color w:val="auto"/>
          <w:sz w:val="24"/>
          <w:szCs w:val="24"/>
          <w:highlight w:val="none"/>
          <w:lang w:val="en-US" w:eastAsia="zh-CN"/>
        </w:rPr>
        <w:t>且需有工业设备清洗相关资质</w:t>
      </w:r>
      <w:r>
        <w:rPr>
          <w:rFonts w:hint="eastAsia" w:ascii="仿宋" w:hAnsi="仿宋" w:eastAsia="仿宋" w:cs="仿宋"/>
          <w:b w:val="0"/>
          <w:bCs w:val="0"/>
          <w:color w:val="auto"/>
          <w:sz w:val="24"/>
          <w:szCs w:val="24"/>
          <w:highlight w:val="none"/>
        </w:rPr>
        <w:t>。</w:t>
      </w:r>
    </w:p>
    <w:p w14:paraId="65F4FC6C">
      <w:pPr>
        <w:widowControl/>
        <w:spacing w:line="500" w:lineRule="exact"/>
        <w:ind w:firstLine="472" w:firstLineChars="197"/>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3）投标方具有完善的质量、环境、职业健康安全保证体系，须具有ISO9001质量、ISO14001环境、ISO45001职业健康安全（或OHSAS18001职业健康安全）管理体系的认证证书（须在有效期内）。</w:t>
      </w:r>
    </w:p>
    <w:p w14:paraId="62858701">
      <w:pPr>
        <w:widowControl/>
        <w:spacing w:line="500" w:lineRule="exact"/>
        <w:ind w:firstLine="472" w:firstLineChars="197"/>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4)投标方须提供拟派项目经理具有二级注册建造师及以上执业资格和有效的安全生产考核合格证书（B 本）。</w:t>
      </w:r>
    </w:p>
    <w:p w14:paraId="2A078E3B">
      <w:pPr>
        <w:widowControl/>
        <w:spacing w:line="500" w:lineRule="exact"/>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5）投标方具有有效的质量管理体系认证证书，在专业技术、设备设施、人员组织、业绩经验等方面具有设计、制造、安装、质量控制、经营管理等相应的资格和能力；</w:t>
      </w:r>
    </w:p>
    <w:p w14:paraId="6A6A23A3">
      <w:pPr>
        <w:spacing w:line="500" w:lineRule="exact"/>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6）法定代表人为同一个人的两个及两个以上法人，母公司、全资子公司及其控股公司不得在本项目同时应答。</w:t>
      </w:r>
    </w:p>
    <w:p w14:paraId="03A16FD8">
      <w:pPr>
        <w:spacing w:line="500" w:lineRule="exact"/>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7) 本工程不接受联合体投标；</w:t>
      </w:r>
    </w:p>
    <w:p w14:paraId="56535543">
      <w:pPr>
        <w:spacing w:line="500" w:lineRule="exact"/>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8）业绩要求：请投标方列出近4年内不低于</w:t>
      </w: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rPr>
        <w:t>个已施工结束的</w:t>
      </w:r>
      <w:r>
        <w:rPr>
          <w:rFonts w:hint="eastAsia" w:ascii="仿宋" w:hAnsi="仿宋" w:eastAsia="仿宋" w:cs="仿宋"/>
          <w:b w:val="0"/>
          <w:bCs w:val="0"/>
          <w:color w:val="auto"/>
          <w:sz w:val="24"/>
          <w:szCs w:val="24"/>
          <w:lang w:val="en-US" w:eastAsia="zh-CN"/>
        </w:rPr>
        <w:t>6</w:t>
      </w:r>
      <w:r>
        <w:rPr>
          <w:rFonts w:hint="eastAsia" w:ascii="仿宋" w:hAnsi="仿宋" w:eastAsia="仿宋" w:cs="仿宋"/>
          <w:b w:val="0"/>
          <w:bCs w:val="0"/>
          <w:color w:val="auto"/>
          <w:sz w:val="24"/>
          <w:szCs w:val="24"/>
        </w:rPr>
        <w:t>00MW及以上的燃煤火电机组</w:t>
      </w:r>
      <w:r>
        <w:rPr>
          <w:rFonts w:hint="eastAsia" w:ascii="仿宋" w:hAnsi="仿宋" w:eastAsia="仿宋" w:cs="仿宋"/>
          <w:b w:val="0"/>
          <w:bCs w:val="0"/>
          <w:color w:val="auto"/>
          <w:sz w:val="24"/>
          <w:szCs w:val="24"/>
          <w:lang w:val="en-US" w:eastAsia="zh-CN"/>
        </w:rPr>
        <w:t>空预器冲洗</w:t>
      </w:r>
      <w:r>
        <w:rPr>
          <w:rFonts w:hint="eastAsia" w:ascii="仿宋" w:hAnsi="仿宋" w:eastAsia="仿宋" w:cs="仿宋"/>
          <w:b w:val="0"/>
          <w:bCs w:val="0"/>
          <w:color w:val="auto"/>
          <w:sz w:val="24"/>
          <w:szCs w:val="24"/>
        </w:rPr>
        <w:t>施工业绩（合同已签未施工的不属于业绩范围），</w:t>
      </w:r>
      <w:r>
        <w:rPr>
          <w:rFonts w:hint="eastAsia" w:ascii="仿宋" w:hAnsi="仿宋" w:eastAsia="仿宋" w:cs="仿宋"/>
          <w:b w:val="0"/>
          <w:bCs w:val="0"/>
          <w:color w:val="auto"/>
          <w:sz w:val="24"/>
          <w:szCs w:val="24"/>
          <w:lang w:eastAsia="zh-CN"/>
        </w:rPr>
        <w:t xml:space="preserve">需提供以下业绩证明文件：合同首页、工程范围和工期内容页、合同双方的签署盖章页、完工/竣工证明等资料。 </w:t>
      </w:r>
    </w:p>
    <w:p w14:paraId="0FBE4594">
      <w:pPr>
        <w:pStyle w:val="29"/>
        <w:ind w:firstLine="0" w:firstLineChars="0"/>
        <w:rPr>
          <w:rFonts w:ascii="Arial" w:hAnsi="Arial"/>
          <w:b/>
          <w:bCs/>
        </w:rPr>
      </w:pPr>
    </w:p>
    <w:sectPr>
      <w:footerReference r:id="rId3" w:type="default"/>
      <w:pgSz w:w="11906" w:h="16838"/>
      <w:pgMar w:top="1440" w:right="141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经典长宋简">
    <w:altName w:val="宋体"/>
    <w:panose1 w:val="00000000000000000000"/>
    <w:charset w:val="86"/>
    <w:family w:val="modern"/>
    <w:pitch w:val="default"/>
    <w:sig w:usb0="00000000" w:usb1="00000000" w:usb2="0000001E" w:usb3="00000000" w:csb0="00040000" w:csb1="00000000"/>
  </w:font>
  <w:font w:name="新宋体">
    <w:panose1 w:val="02010609030101010101"/>
    <w:charset w:val="86"/>
    <w:family w:val="modern"/>
    <w:pitch w:val="default"/>
    <w:sig w:usb0="00000203" w:usb1="288F0000" w:usb2="0000000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225091"/>
      <w:docPartObj>
        <w:docPartGallery w:val="autotext"/>
      </w:docPartObj>
    </w:sdtPr>
    <w:sdtContent>
      <w:sdt>
        <w:sdtPr>
          <w:id w:val="2114237590"/>
          <w:docPartObj>
            <w:docPartGallery w:val="autotext"/>
          </w:docPartObj>
        </w:sdtPr>
        <w:sdtContent>
          <w:p w14:paraId="22F77980">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3A0499D4">
    <w:pPr>
      <w:pStyle w:val="3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14958"/>
    <w:rsid w:val="00017E22"/>
    <w:rsid w:val="00021A19"/>
    <w:rsid w:val="00035243"/>
    <w:rsid w:val="000601D2"/>
    <w:rsid w:val="00063AE7"/>
    <w:rsid w:val="0007561B"/>
    <w:rsid w:val="00087117"/>
    <w:rsid w:val="00093456"/>
    <w:rsid w:val="000A430E"/>
    <w:rsid w:val="000A4EF4"/>
    <w:rsid w:val="000A629A"/>
    <w:rsid w:val="000A63C8"/>
    <w:rsid w:val="000A6C35"/>
    <w:rsid w:val="000A7AC5"/>
    <w:rsid w:val="000B3BC6"/>
    <w:rsid w:val="000B4A68"/>
    <w:rsid w:val="000C1544"/>
    <w:rsid w:val="000D148B"/>
    <w:rsid w:val="000E227E"/>
    <w:rsid w:val="000F09EB"/>
    <w:rsid w:val="000F4F2C"/>
    <w:rsid w:val="00100ADC"/>
    <w:rsid w:val="00101885"/>
    <w:rsid w:val="00104801"/>
    <w:rsid w:val="00114150"/>
    <w:rsid w:val="00114267"/>
    <w:rsid w:val="00121B91"/>
    <w:rsid w:val="00122D0C"/>
    <w:rsid w:val="00123226"/>
    <w:rsid w:val="00125F20"/>
    <w:rsid w:val="00135396"/>
    <w:rsid w:val="00143BAB"/>
    <w:rsid w:val="00147F6D"/>
    <w:rsid w:val="00152308"/>
    <w:rsid w:val="00154BDE"/>
    <w:rsid w:val="00162169"/>
    <w:rsid w:val="00172A27"/>
    <w:rsid w:val="00177B74"/>
    <w:rsid w:val="00191017"/>
    <w:rsid w:val="001A2335"/>
    <w:rsid w:val="001B355C"/>
    <w:rsid w:val="001B4416"/>
    <w:rsid w:val="001B464F"/>
    <w:rsid w:val="001B7F79"/>
    <w:rsid w:val="001C13B7"/>
    <w:rsid w:val="001C149E"/>
    <w:rsid w:val="001C3096"/>
    <w:rsid w:val="001C457B"/>
    <w:rsid w:val="001C60CE"/>
    <w:rsid w:val="001D19C8"/>
    <w:rsid w:val="001F28D0"/>
    <w:rsid w:val="002212E4"/>
    <w:rsid w:val="00221C74"/>
    <w:rsid w:val="002234D1"/>
    <w:rsid w:val="00235BB6"/>
    <w:rsid w:val="002502DE"/>
    <w:rsid w:val="00250DF9"/>
    <w:rsid w:val="00255C5F"/>
    <w:rsid w:val="00262E70"/>
    <w:rsid w:val="00264FE9"/>
    <w:rsid w:val="00265237"/>
    <w:rsid w:val="0026675A"/>
    <w:rsid w:val="00286D83"/>
    <w:rsid w:val="00294589"/>
    <w:rsid w:val="00296F40"/>
    <w:rsid w:val="002A5FD4"/>
    <w:rsid w:val="002A7572"/>
    <w:rsid w:val="002C3BBA"/>
    <w:rsid w:val="002D109A"/>
    <w:rsid w:val="002D1AAA"/>
    <w:rsid w:val="002D25FD"/>
    <w:rsid w:val="002D4581"/>
    <w:rsid w:val="002F446C"/>
    <w:rsid w:val="002F6B88"/>
    <w:rsid w:val="00304A01"/>
    <w:rsid w:val="0030764D"/>
    <w:rsid w:val="003126F9"/>
    <w:rsid w:val="003132F4"/>
    <w:rsid w:val="003136E3"/>
    <w:rsid w:val="00314435"/>
    <w:rsid w:val="00315C74"/>
    <w:rsid w:val="00316343"/>
    <w:rsid w:val="00316EC2"/>
    <w:rsid w:val="00320E60"/>
    <w:rsid w:val="00331411"/>
    <w:rsid w:val="00333959"/>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C2F57"/>
    <w:rsid w:val="003F2CE9"/>
    <w:rsid w:val="004020C5"/>
    <w:rsid w:val="00420519"/>
    <w:rsid w:val="0043176C"/>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90210"/>
    <w:rsid w:val="004908D8"/>
    <w:rsid w:val="00495471"/>
    <w:rsid w:val="004B0881"/>
    <w:rsid w:val="004C3A41"/>
    <w:rsid w:val="004D0360"/>
    <w:rsid w:val="004D1EB4"/>
    <w:rsid w:val="004D2674"/>
    <w:rsid w:val="004D2CAC"/>
    <w:rsid w:val="004D5E99"/>
    <w:rsid w:val="004E2187"/>
    <w:rsid w:val="004E3186"/>
    <w:rsid w:val="004E59FB"/>
    <w:rsid w:val="004E5AFA"/>
    <w:rsid w:val="004F0BB3"/>
    <w:rsid w:val="004F367A"/>
    <w:rsid w:val="004F7266"/>
    <w:rsid w:val="00506F70"/>
    <w:rsid w:val="0051144B"/>
    <w:rsid w:val="00514613"/>
    <w:rsid w:val="005250A0"/>
    <w:rsid w:val="00530851"/>
    <w:rsid w:val="005311A5"/>
    <w:rsid w:val="005374D9"/>
    <w:rsid w:val="00537699"/>
    <w:rsid w:val="005410FE"/>
    <w:rsid w:val="00541729"/>
    <w:rsid w:val="00542117"/>
    <w:rsid w:val="00544ADB"/>
    <w:rsid w:val="005451C0"/>
    <w:rsid w:val="005549E6"/>
    <w:rsid w:val="00555326"/>
    <w:rsid w:val="00564C6A"/>
    <w:rsid w:val="005656DA"/>
    <w:rsid w:val="0056634D"/>
    <w:rsid w:val="0057392F"/>
    <w:rsid w:val="00580C8E"/>
    <w:rsid w:val="00590606"/>
    <w:rsid w:val="005A12BF"/>
    <w:rsid w:val="005A5382"/>
    <w:rsid w:val="005A78B1"/>
    <w:rsid w:val="005B477E"/>
    <w:rsid w:val="005C0154"/>
    <w:rsid w:val="005C4626"/>
    <w:rsid w:val="005D0195"/>
    <w:rsid w:val="005D356E"/>
    <w:rsid w:val="005D5EC3"/>
    <w:rsid w:val="005D7384"/>
    <w:rsid w:val="005E369F"/>
    <w:rsid w:val="005F0514"/>
    <w:rsid w:val="005F7C1D"/>
    <w:rsid w:val="0060755D"/>
    <w:rsid w:val="00621922"/>
    <w:rsid w:val="00631F12"/>
    <w:rsid w:val="00636282"/>
    <w:rsid w:val="0064219E"/>
    <w:rsid w:val="00642C82"/>
    <w:rsid w:val="00643A60"/>
    <w:rsid w:val="00645C47"/>
    <w:rsid w:val="006505E8"/>
    <w:rsid w:val="00650AE9"/>
    <w:rsid w:val="00651544"/>
    <w:rsid w:val="00652EDA"/>
    <w:rsid w:val="00656CBF"/>
    <w:rsid w:val="00662CB8"/>
    <w:rsid w:val="0067632C"/>
    <w:rsid w:val="00683D50"/>
    <w:rsid w:val="00683DB8"/>
    <w:rsid w:val="00686774"/>
    <w:rsid w:val="006A71E2"/>
    <w:rsid w:val="006C0AD7"/>
    <w:rsid w:val="006C0D2C"/>
    <w:rsid w:val="006C6A61"/>
    <w:rsid w:val="006D1C7F"/>
    <w:rsid w:val="006E1A10"/>
    <w:rsid w:val="006E60DD"/>
    <w:rsid w:val="006F07A8"/>
    <w:rsid w:val="006F3196"/>
    <w:rsid w:val="006F5F71"/>
    <w:rsid w:val="00704A18"/>
    <w:rsid w:val="00705ADB"/>
    <w:rsid w:val="00706CAD"/>
    <w:rsid w:val="0071702B"/>
    <w:rsid w:val="00727848"/>
    <w:rsid w:val="00734694"/>
    <w:rsid w:val="007407F0"/>
    <w:rsid w:val="00745E5F"/>
    <w:rsid w:val="007561F1"/>
    <w:rsid w:val="00764A27"/>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2853"/>
    <w:rsid w:val="007C393C"/>
    <w:rsid w:val="007C7177"/>
    <w:rsid w:val="007F10B8"/>
    <w:rsid w:val="007F123A"/>
    <w:rsid w:val="00804617"/>
    <w:rsid w:val="008069F5"/>
    <w:rsid w:val="0081003B"/>
    <w:rsid w:val="00815D81"/>
    <w:rsid w:val="00820777"/>
    <w:rsid w:val="00827856"/>
    <w:rsid w:val="00834292"/>
    <w:rsid w:val="00834E46"/>
    <w:rsid w:val="00840153"/>
    <w:rsid w:val="00862764"/>
    <w:rsid w:val="008711A6"/>
    <w:rsid w:val="00875A6C"/>
    <w:rsid w:val="00877F0C"/>
    <w:rsid w:val="00892A23"/>
    <w:rsid w:val="008A1037"/>
    <w:rsid w:val="008A30DB"/>
    <w:rsid w:val="008A402C"/>
    <w:rsid w:val="008A4D95"/>
    <w:rsid w:val="008B2B82"/>
    <w:rsid w:val="008B4000"/>
    <w:rsid w:val="008B4059"/>
    <w:rsid w:val="008B65B9"/>
    <w:rsid w:val="008C032A"/>
    <w:rsid w:val="008D1E20"/>
    <w:rsid w:val="008E2B73"/>
    <w:rsid w:val="008E4D90"/>
    <w:rsid w:val="008F46E1"/>
    <w:rsid w:val="00906684"/>
    <w:rsid w:val="00906CAA"/>
    <w:rsid w:val="0091258E"/>
    <w:rsid w:val="00913365"/>
    <w:rsid w:val="00915112"/>
    <w:rsid w:val="00920AA4"/>
    <w:rsid w:val="00926538"/>
    <w:rsid w:val="00932694"/>
    <w:rsid w:val="00937FCC"/>
    <w:rsid w:val="009567EC"/>
    <w:rsid w:val="009724DD"/>
    <w:rsid w:val="00972CB7"/>
    <w:rsid w:val="00974939"/>
    <w:rsid w:val="009765FF"/>
    <w:rsid w:val="00976EBC"/>
    <w:rsid w:val="00982B8E"/>
    <w:rsid w:val="00984DB1"/>
    <w:rsid w:val="00987C5C"/>
    <w:rsid w:val="0099002E"/>
    <w:rsid w:val="00997DF3"/>
    <w:rsid w:val="009A3B4E"/>
    <w:rsid w:val="009A4D70"/>
    <w:rsid w:val="009B516F"/>
    <w:rsid w:val="009B601C"/>
    <w:rsid w:val="009B6514"/>
    <w:rsid w:val="009B6811"/>
    <w:rsid w:val="009C1EC6"/>
    <w:rsid w:val="009C38FA"/>
    <w:rsid w:val="009C6F49"/>
    <w:rsid w:val="009D2D3D"/>
    <w:rsid w:val="009F0AF0"/>
    <w:rsid w:val="00A02A81"/>
    <w:rsid w:val="00A10171"/>
    <w:rsid w:val="00A10E90"/>
    <w:rsid w:val="00A16A7C"/>
    <w:rsid w:val="00A17EFF"/>
    <w:rsid w:val="00A25D33"/>
    <w:rsid w:val="00A25DB0"/>
    <w:rsid w:val="00A43126"/>
    <w:rsid w:val="00A64FB2"/>
    <w:rsid w:val="00A65595"/>
    <w:rsid w:val="00A74369"/>
    <w:rsid w:val="00A7470F"/>
    <w:rsid w:val="00A75856"/>
    <w:rsid w:val="00A80992"/>
    <w:rsid w:val="00A85038"/>
    <w:rsid w:val="00A86D75"/>
    <w:rsid w:val="00A944F2"/>
    <w:rsid w:val="00AA6330"/>
    <w:rsid w:val="00AB36FB"/>
    <w:rsid w:val="00AB792C"/>
    <w:rsid w:val="00AC2570"/>
    <w:rsid w:val="00AC54D9"/>
    <w:rsid w:val="00AD0EE3"/>
    <w:rsid w:val="00AF739E"/>
    <w:rsid w:val="00B01ED5"/>
    <w:rsid w:val="00B13D22"/>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A0789"/>
    <w:rsid w:val="00BA11C0"/>
    <w:rsid w:val="00BA75DD"/>
    <w:rsid w:val="00BB5A35"/>
    <w:rsid w:val="00BC39C3"/>
    <w:rsid w:val="00BE09FA"/>
    <w:rsid w:val="00BE75A7"/>
    <w:rsid w:val="00BF0614"/>
    <w:rsid w:val="00C10C0F"/>
    <w:rsid w:val="00C12F21"/>
    <w:rsid w:val="00C23A41"/>
    <w:rsid w:val="00C26C29"/>
    <w:rsid w:val="00C3022A"/>
    <w:rsid w:val="00C31583"/>
    <w:rsid w:val="00C376AB"/>
    <w:rsid w:val="00C424A1"/>
    <w:rsid w:val="00C424C9"/>
    <w:rsid w:val="00C46F5D"/>
    <w:rsid w:val="00C85787"/>
    <w:rsid w:val="00C871C4"/>
    <w:rsid w:val="00C9357A"/>
    <w:rsid w:val="00C93F19"/>
    <w:rsid w:val="00CA7B36"/>
    <w:rsid w:val="00CB0ED3"/>
    <w:rsid w:val="00CB61CC"/>
    <w:rsid w:val="00CC0F69"/>
    <w:rsid w:val="00CC3F31"/>
    <w:rsid w:val="00CC4A26"/>
    <w:rsid w:val="00CF0412"/>
    <w:rsid w:val="00CF59F5"/>
    <w:rsid w:val="00D04461"/>
    <w:rsid w:val="00D1042D"/>
    <w:rsid w:val="00D20D7E"/>
    <w:rsid w:val="00D33390"/>
    <w:rsid w:val="00D33AD7"/>
    <w:rsid w:val="00D43277"/>
    <w:rsid w:val="00D44125"/>
    <w:rsid w:val="00D52617"/>
    <w:rsid w:val="00D57478"/>
    <w:rsid w:val="00D62932"/>
    <w:rsid w:val="00D64C2B"/>
    <w:rsid w:val="00D65618"/>
    <w:rsid w:val="00D73883"/>
    <w:rsid w:val="00D81B4E"/>
    <w:rsid w:val="00D82864"/>
    <w:rsid w:val="00D86B26"/>
    <w:rsid w:val="00D95280"/>
    <w:rsid w:val="00D97434"/>
    <w:rsid w:val="00DB12F0"/>
    <w:rsid w:val="00DB3C3C"/>
    <w:rsid w:val="00DC0037"/>
    <w:rsid w:val="00DC0B2B"/>
    <w:rsid w:val="00DD3904"/>
    <w:rsid w:val="00DD3923"/>
    <w:rsid w:val="00DD584F"/>
    <w:rsid w:val="00DE2BBD"/>
    <w:rsid w:val="00DE2E07"/>
    <w:rsid w:val="00DE33FA"/>
    <w:rsid w:val="00DF48A9"/>
    <w:rsid w:val="00E00B22"/>
    <w:rsid w:val="00E02A60"/>
    <w:rsid w:val="00E11A29"/>
    <w:rsid w:val="00E24362"/>
    <w:rsid w:val="00E31C78"/>
    <w:rsid w:val="00E32360"/>
    <w:rsid w:val="00E44910"/>
    <w:rsid w:val="00E616C7"/>
    <w:rsid w:val="00E622B8"/>
    <w:rsid w:val="00E63105"/>
    <w:rsid w:val="00E93231"/>
    <w:rsid w:val="00EA1517"/>
    <w:rsid w:val="00EA4AD0"/>
    <w:rsid w:val="00EA568D"/>
    <w:rsid w:val="00EA683A"/>
    <w:rsid w:val="00EB1D8B"/>
    <w:rsid w:val="00EB6171"/>
    <w:rsid w:val="00ED3CAC"/>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451A5"/>
    <w:rsid w:val="00F5089F"/>
    <w:rsid w:val="00F51681"/>
    <w:rsid w:val="00F6074A"/>
    <w:rsid w:val="00F61E16"/>
    <w:rsid w:val="00F62791"/>
    <w:rsid w:val="00F6289C"/>
    <w:rsid w:val="00F70265"/>
    <w:rsid w:val="00F717AA"/>
    <w:rsid w:val="00F82837"/>
    <w:rsid w:val="00F9010D"/>
    <w:rsid w:val="00F946CF"/>
    <w:rsid w:val="00FA5E4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3E77FE9"/>
    <w:rsid w:val="047C4AA8"/>
    <w:rsid w:val="050C6111"/>
    <w:rsid w:val="05510A70"/>
    <w:rsid w:val="056045A0"/>
    <w:rsid w:val="05925128"/>
    <w:rsid w:val="05D552CE"/>
    <w:rsid w:val="0601603F"/>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B345E"/>
    <w:rsid w:val="0F1F76D0"/>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E760D9"/>
    <w:rsid w:val="2202480B"/>
    <w:rsid w:val="22432D68"/>
    <w:rsid w:val="22AB33C9"/>
    <w:rsid w:val="22FA541B"/>
    <w:rsid w:val="23071AD3"/>
    <w:rsid w:val="23525232"/>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F35B5D"/>
    <w:rsid w:val="400E6C2F"/>
    <w:rsid w:val="405F451F"/>
    <w:rsid w:val="408D4D2E"/>
    <w:rsid w:val="410B54F1"/>
    <w:rsid w:val="41596324"/>
    <w:rsid w:val="416D454C"/>
    <w:rsid w:val="417E0DD4"/>
    <w:rsid w:val="41AE29E7"/>
    <w:rsid w:val="42744C1D"/>
    <w:rsid w:val="42812D02"/>
    <w:rsid w:val="42A50744"/>
    <w:rsid w:val="42EC41A7"/>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A75E29"/>
    <w:rsid w:val="53F420B3"/>
    <w:rsid w:val="54002F60"/>
    <w:rsid w:val="540E00C3"/>
    <w:rsid w:val="54615C1F"/>
    <w:rsid w:val="54CC5929"/>
    <w:rsid w:val="54D66B86"/>
    <w:rsid w:val="54F91B6A"/>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3A7E0E"/>
    <w:rsid w:val="62582768"/>
    <w:rsid w:val="625D71FF"/>
    <w:rsid w:val="6288046D"/>
    <w:rsid w:val="62BE2C0A"/>
    <w:rsid w:val="62D04226"/>
    <w:rsid w:val="62FC6387"/>
    <w:rsid w:val="631D73A2"/>
    <w:rsid w:val="635243D9"/>
    <w:rsid w:val="63C1118E"/>
    <w:rsid w:val="646F4B68"/>
    <w:rsid w:val="65AB285B"/>
    <w:rsid w:val="65AD7EBD"/>
    <w:rsid w:val="65B45F4F"/>
    <w:rsid w:val="65D442F6"/>
    <w:rsid w:val="65EE1B68"/>
    <w:rsid w:val="664A47B6"/>
    <w:rsid w:val="669A4C09"/>
    <w:rsid w:val="66D67A5D"/>
    <w:rsid w:val="66EE6546"/>
    <w:rsid w:val="67074E48"/>
    <w:rsid w:val="67246F89"/>
    <w:rsid w:val="67630127"/>
    <w:rsid w:val="67837630"/>
    <w:rsid w:val="683D3BEC"/>
    <w:rsid w:val="68417139"/>
    <w:rsid w:val="684347AC"/>
    <w:rsid w:val="68BF275E"/>
    <w:rsid w:val="69005F6E"/>
    <w:rsid w:val="690211CA"/>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8E29B8"/>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ABE0F1A"/>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topLinePunct/>
      <w:ind w:left="360"/>
      <w:outlineLvl w:val="0"/>
    </w:pPr>
    <w:rPr>
      <w:sz w:val="28"/>
    </w:rPr>
  </w:style>
  <w:style w:type="paragraph" w:styleId="3">
    <w:name w:val="heading 2"/>
    <w:basedOn w:val="1"/>
    <w:next w:val="1"/>
    <w:link w:val="57"/>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8"/>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59"/>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1"/>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2"/>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63"/>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4"/>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link w:val="71"/>
    <w:qFormat/>
    <w:uiPriority w:val="0"/>
    <w:pPr>
      <w:adjustRightInd w:val="0"/>
      <w:spacing w:line="312" w:lineRule="atLeast"/>
      <w:ind w:firstLine="420"/>
      <w:textAlignment w:val="baseline"/>
    </w:pPr>
    <w:rPr>
      <w:rFonts w:ascii="@楷体" w:hAnsi="Symbol" w:eastAsia="楷体"/>
      <w:kern w:val="28"/>
      <w:sz w:val="15"/>
    </w:rPr>
  </w:style>
  <w:style w:type="paragraph" w:styleId="17">
    <w:name w:val="Document Map"/>
    <w:basedOn w:val="1"/>
    <w:link w:val="78"/>
    <w:qFormat/>
    <w:uiPriority w:val="0"/>
    <w:rPr>
      <w:rFonts w:ascii="宋体"/>
      <w:sz w:val="18"/>
      <w:szCs w:val="18"/>
    </w:rPr>
  </w:style>
  <w:style w:type="paragraph" w:styleId="18">
    <w:name w:val="annotation text"/>
    <w:basedOn w:val="1"/>
    <w:link w:val="80"/>
    <w:qFormat/>
    <w:uiPriority w:val="0"/>
    <w:pPr>
      <w:jc w:val="left"/>
    </w:pPr>
  </w:style>
  <w:style w:type="paragraph" w:styleId="19">
    <w:name w:val="Body Text 3"/>
    <w:basedOn w:val="1"/>
    <w:link w:val="191"/>
    <w:qFormat/>
    <w:uiPriority w:val="0"/>
    <w:pPr>
      <w:spacing w:after="120"/>
    </w:pPr>
    <w:rPr>
      <w:sz w:val="16"/>
      <w:szCs w:val="16"/>
    </w:r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74"/>
    <w:qFormat/>
    <w:uiPriority w:val="0"/>
    <w:rPr>
      <w:rFonts w:ascii="宋体" w:hAnsi="宋体"/>
      <w:color w:val="0000FF"/>
      <w:sz w:val="24"/>
      <w:szCs w:val="24"/>
    </w:rPr>
  </w:style>
  <w:style w:type="paragraph" w:styleId="22">
    <w:name w:val="Body Text Indent"/>
    <w:basedOn w:val="1"/>
    <w:link w:val="81"/>
    <w:qFormat/>
    <w:uiPriority w:val="0"/>
    <w:pPr>
      <w:spacing w:after="120"/>
      <w:ind w:left="420" w:leftChars="200"/>
    </w:pPr>
    <w:rPr>
      <w:szCs w:val="24"/>
    </w:rPr>
  </w:style>
  <w:style w:type="paragraph" w:styleId="23">
    <w:name w:val="List Bullet 2"/>
    <w:basedOn w:val="1"/>
    <w:qFormat/>
    <w:uiPriority w:val="0"/>
    <w:pPr>
      <w:tabs>
        <w:tab w:val="left" w:pos="780"/>
      </w:tabs>
      <w:ind w:left="420" w:hanging="420"/>
    </w:pPr>
    <w:rPr>
      <w:szCs w:val="24"/>
    </w:rPr>
  </w:style>
  <w:style w:type="paragraph" w:styleId="24">
    <w:name w:val="toc 5"/>
    <w:basedOn w:val="1"/>
    <w:next w:val="1"/>
    <w:qFormat/>
    <w:uiPriority w:val="0"/>
    <w:pPr>
      <w:ind w:left="1680" w:leftChars="800"/>
    </w:pPr>
    <w:rPr>
      <w:szCs w:val="24"/>
    </w:rPr>
  </w:style>
  <w:style w:type="paragraph" w:styleId="25">
    <w:name w:val="toc 3"/>
    <w:basedOn w:val="1"/>
    <w:next w:val="1"/>
    <w:qFormat/>
    <w:uiPriority w:val="39"/>
    <w:pPr>
      <w:ind w:left="840" w:leftChars="400"/>
    </w:pPr>
    <w:rPr>
      <w:szCs w:val="24"/>
    </w:rPr>
  </w:style>
  <w:style w:type="paragraph" w:styleId="26">
    <w:name w:val="Plain Text"/>
    <w:basedOn w:val="1"/>
    <w:link w:val="65"/>
    <w:unhideWhenUsed/>
    <w:qFormat/>
    <w:uiPriority w:val="0"/>
    <w:rPr>
      <w:rFonts w:ascii="宋体" w:hAnsi="Courier New"/>
    </w:rPr>
  </w:style>
  <w:style w:type="paragraph" w:styleId="27">
    <w:name w:val="toc 8"/>
    <w:basedOn w:val="1"/>
    <w:next w:val="1"/>
    <w:qFormat/>
    <w:uiPriority w:val="0"/>
    <w:pPr>
      <w:ind w:left="2940" w:leftChars="1400"/>
    </w:pPr>
    <w:rPr>
      <w:szCs w:val="24"/>
    </w:rPr>
  </w:style>
  <w:style w:type="paragraph" w:styleId="28">
    <w:name w:val="Date"/>
    <w:basedOn w:val="1"/>
    <w:next w:val="1"/>
    <w:link w:val="83"/>
    <w:qFormat/>
    <w:uiPriority w:val="0"/>
  </w:style>
  <w:style w:type="paragraph" w:styleId="29">
    <w:name w:val="Body Text Indent 2"/>
    <w:basedOn w:val="1"/>
    <w:link w:val="84"/>
    <w:qFormat/>
    <w:uiPriority w:val="0"/>
    <w:pPr>
      <w:ind w:firstLine="480" w:firstLineChars="200"/>
    </w:pPr>
    <w:rPr>
      <w:rFonts w:ascii="宋体" w:hAnsi="宋体"/>
      <w:color w:val="FF0000"/>
      <w:sz w:val="24"/>
      <w:szCs w:val="24"/>
    </w:rPr>
  </w:style>
  <w:style w:type="paragraph" w:styleId="30">
    <w:name w:val="Balloon Text"/>
    <w:basedOn w:val="1"/>
    <w:link w:val="70"/>
    <w:unhideWhenUsed/>
    <w:qFormat/>
    <w:uiPriority w:val="0"/>
    <w:rPr>
      <w:sz w:val="18"/>
      <w:szCs w:val="18"/>
    </w:rPr>
  </w:style>
  <w:style w:type="paragraph" w:styleId="31">
    <w:name w:val="footer"/>
    <w:basedOn w:val="1"/>
    <w:link w:val="66"/>
    <w:qFormat/>
    <w:uiPriority w:val="99"/>
    <w:pPr>
      <w:tabs>
        <w:tab w:val="center" w:pos="4153"/>
        <w:tab w:val="right" w:pos="8306"/>
      </w:tabs>
      <w:snapToGrid w:val="0"/>
      <w:jc w:val="left"/>
    </w:pPr>
    <w:rPr>
      <w:sz w:val="18"/>
    </w:rPr>
  </w:style>
  <w:style w:type="paragraph" w:styleId="32">
    <w:name w:val="header"/>
    <w:basedOn w:val="1"/>
    <w:link w:val="6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3">
    <w:name w:val="toc 1"/>
    <w:basedOn w:val="1"/>
    <w:next w:val="1"/>
    <w:qFormat/>
    <w:uiPriority w:val="39"/>
    <w:rPr>
      <w:szCs w:val="24"/>
    </w:rPr>
  </w:style>
  <w:style w:type="paragraph" w:styleId="34">
    <w:name w:val="toc 4"/>
    <w:basedOn w:val="1"/>
    <w:next w:val="1"/>
    <w:qFormat/>
    <w:uiPriority w:val="0"/>
    <w:pPr>
      <w:ind w:left="1260" w:leftChars="600"/>
    </w:pPr>
    <w:rPr>
      <w:szCs w:val="24"/>
    </w:rPr>
  </w:style>
  <w:style w:type="paragraph" w:styleId="35">
    <w:name w:val="Subtitle"/>
    <w:basedOn w:val="1"/>
    <w:link w:val="115"/>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36">
    <w:name w:val="toc 6"/>
    <w:basedOn w:val="1"/>
    <w:next w:val="1"/>
    <w:qFormat/>
    <w:uiPriority w:val="0"/>
    <w:pPr>
      <w:ind w:left="2100" w:leftChars="1000"/>
    </w:pPr>
    <w:rPr>
      <w:szCs w:val="24"/>
    </w:rPr>
  </w:style>
  <w:style w:type="paragraph" w:styleId="37">
    <w:name w:val="Body Text Indent 3"/>
    <w:basedOn w:val="1"/>
    <w:link w:val="86"/>
    <w:qFormat/>
    <w:uiPriority w:val="0"/>
    <w:pPr>
      <w:spacing w:line="360" w:lineRule="atLeast"/>
      <w:ind w:left="420" w:firstLine="480"/>
    </w:pPr>
    <w:rPr>
      <w:rFonts w:ascii="宋体"/>
      <w:sz w:val="24"/>
      <w:szCs w:val="24"/>
    </w:rPr>
  </w:style>
  <w:style w:type="paragraph" w:styleId="38">
    <w:name w:val="toc 2"/>
    <w:basedOn w:val="1"/>
    <w:next w:val="1"/>
    <w:qFormat/>
    <w:uiPriority w:val="39"/>
    <w:pPr>
      <w:ind w:left="420" w:leftChars="200"/>
    </w:pPr>
    <w:rPr>
      <w:szCs w:val="24"/>
    </w:rPr>
  </w:style>
  <w:style w:type="paragraph" w:styleId="39">
    <w:name w:val="toc 9"/>
    <w:basedOn w:val="1"/>
    <w:next w:val="1"/>
    <w:qFormat/>
    <w:uiPriority w:val="0"/>
    <w:pPr>
      <w:ind w:left="3360" w:leftChars="1600"/>
    </w:pPr>
    <w:rPr>
      <w:szCs w:val="24"/>
    </w:rPr>
  </w:style>
  <w:style w:type="paragraph" w:styleId="40">
    <w:name w:val="Body Text 2"/>
    <w:basedOn w:val="1"/>
    <w:link w:val="87"/>
    <w:qFormat/>
    <w:uiPriority w:val="0"/>
    <w:rPr>
      <w:rFonts w:ascii="宋体"/>
      <w:b/>
      <w:bCs/>
      <w:color w:val="0000FF"/>
      <w:sz w:val="30"/>
      <w:szCs w:val="24"/>
    </w:rPr>
  </w:style>
  <w:style w:type="paragraph" w:styleId="41">
    <w:name w:val="Message Header"/>
    <w:basedOn w:val="21"/>
    <w:link w:val="192"/>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42">
    <w:name w:val="HTML Preformatted"/>
    <w:basedOn w:val="1"/>
    <w:link w:val="8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44">
    <w:name w:val="index 1"/>
    <w:basedOn w:val="1"/>
    <w:next w:val="1"/>
    <w:qFormat/>
    <w:uiPriority w:val="0"/>
    <w:pPr>
      <w:adjustRightInd w:val="0"/>
      <w:spacing w:line="360" w:lineRule="atLeast"/>
      <w:jc w:val="left"/>
      <w:textAlignment w:val="baseline"/>
    </w:pPr>
    <w:rPr>
      <w:kern w:val="0"/>
      <w:sz w:val="24"/>
    </w:rPr>
  </w:style>
  <w:style w:type="paragraph" w:styleId="45">
    <w:name w:val="Title"/>
    <w:basedOn w:val="1"/>
    <w:next w:val="1"/>
    <w:link w:val="68"/>
    <w:qFormat/>
    <w:uiPriority w:val="0"/>
    <w:pPr>
      <w:adjustRightInd w:val="0"/>
      <w:snapToGrid w:val="0"/>
      <w:spacing w:before="120" w:after="120" w:line="520" w:lineRule="exact"/>
      <w:jc w:val="center"/>
      <w:outlineLvl w:val="0"/>
    </w:pPr>
    <w:rPr>
      <w:rFonts w:ascii="黑体" w:eastAsia="黑体"/>
      <w:snapToGrid w:val="0"/>
      <w:sz w:val="28"/>
    </w:rPr>
  </w:style>
  <w:style w:type="paragraph" w:styleId="46">
    <w:name w:val="annotation subject"/>
    <w:basedOn w:val="18"/>
    <w:next w:val="18"/>
    <w:link w:val="90"/>
    <w:semiHidden/>
    <w:qFormat/>
    <w:uiPriority w:val="0"/>
    <w:rPr>
      <w:b/>
      <w:bCs/>
      <w:szCs w:val="24"/>
    </w:rPr>
  </w:style>
  <w:style w:type="paragraph" w:styleId="47">
    <w:name w:val="Body Text First Indent"/>
    <w:basedOn w:val="21"/>
    <w:link w:val="133"/>
    <w:qFormat/>
    <w:uiPriority w:val="0"/>
    <w:pPr>
      <w:spacing w:after="120"/>
      <w:ind w:firstLine="420" w:firstLineChars="100"/>
    </w:pPr>
    <w:rPr>
      <w:rFonts w:hAnsi="Times New Roman"/>
      <w:color w:val="auto"/>
      <w:szCs w:val="20"/>
    </w:rPr>
  </w:style>
  <w:style w:type="table" w:styleId="49">
    <w:name w:val="Table Grid"/>
    <w:basedOn w:val="4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22"/>
    <w:rPr>
      <w:b/>
      <w:bCs/>
    </w:rPr>
  </w:style>
  <w:style w:type="character" w:styleId="52">
    <w:name w:val="page number"/>
    <w:basedOn w:val="50"/>
    <w:unhideWhenUsed/>
    <w:qFormat/>
    <w:uiPriority w:val="0"/>
    <w:rPr>
      <w:kern w:val="2"/>
      <w:sz w:val="21"/>
      <w:szCs w:val="21"/>
    </w:rPr>
  </w:style>
  <w:style w:type="character" w:styleId="53">
    <w:name w:val="FollowedHyperlink"/>
    <w:qFormat/>
    <w:uiPriority w:val="0"/>
    <w:rPr>
      <w:color w:val="800080"/>
      <w:u w:val="single"/>
    </w:rPr>
  </w:style>
  <w:style w:type="character" w:styleId="54">
    <w:name w:val="Hyperlink"/>
    <w:basedOn w:val="50"/>
    <w:unhideWhenUsed/>
    <w:qFormat/>
    <w:uiPriority w:val="99"/>
    <w:rPr>
      <w:color w:val="0563C1" w:themeColor="hyperlink"/>
      <w:u w:val="single"/>
      <w14:textFill>
        <w14:solidFill>
          <w14:schemeClr w14:val="hlink"/>
        </w14:solidFill>
      </w14:textFill>
    </w:rPr>
  </w:style>
  <w:style w:type="character" w:styleId="55">
    <w:name w:val="annotation reference"/>
    <w:qFormat/>
    <w:uiPriority w:val="0"/>
    <w:rPr>
      <w:sz w:val="21"/>
      <w:szCs w:val="21"/>
    </w:rPr>
  </w:style>
  <w:style w:type="character" w:customStyle="1" w:styleId="56">
    <w:name w:val="标题 1 字符"/>
    <w:basedOn w:val="50"/>
    <w:link w:val="2"/>
    <w:qFormat/>
    <w:uiPriority w:val="0"/>
    <w:rPr>
      <w:kern w:val="2"/>
      <w:sz w:val="28"/>
    </w:rPr>
  </w:style>
  <w:style w:type="character" w:customStyle="1" w:styleId="57">
    <w:name w:val="标题 2 字符"/>
    <w:basedOn w:val="50"/>
    <w:link w:val="3"/>
    <w:qFormat/>
    <w:uiPriority w:val="0"/>
    <w:rPr>
      <w:rFonts w:ascii="Arial" w:hAnsi="Arial" w:eastAsia="黑体"/>
      <w:b/>
      <w:sz w:val="32"/>
    </w:rPr>
  </w:style>
  <w:style w:type="character" w:customStyle="1" w:styleId="58">
    <w:name w:val="标题 3 字符"/>
    <w:basedOn w:val="50"/>
    <w:link w:val="4"/>
    <w:qFormat/>
    <w:uiPriority w:val="0"/>
    <w:rPr>
      <w:b/>
      <w:sz w:val="32"/>
    </w:rPr>
  </w:style>
  <w:style w:type="character" w:customStyle="1" w:styleId="59">
    <w:name w:val="标题 4 字符"/>
    <w:basedOn w:val="50"/>
    <w:link w:val="5"/>
    <w:qFormat/>
    <w:uiPriority w:val="0"/>
    <w:rPr>
      <w:rFonts w:ascii="Arial" w:hAnsi="Arial" w:eastAsia="黑体"/>
      <w:b/>
      <w:sz w:val="28"/>
    </w:rPr>
  </w:style>
  <w:style w:type="character" w:customStyle="1" w:styleId="60">
    <w:name w:val="标题 5 字符"/>
    <w:basedOn w:val="50"/>
    <w:link w:val="6"/>
    <w:qFormat/>
    <w:uiPriority w:val="0"/>
    <w:rPr>
      <w:b/>
      <w:sz w:val="28"/>
    </w:rPr>
  </w:style>
  <w:style w:type="character" w:customStyle="1" w:styleId="61">
    <w:name w:val="标题 6 字符"/>
    <w:basedOn w:val="50"/>
    <w:link w:val="7"/>
    <w:qFormat/>
    <w:uiPriority w:val="0"/>
    <w:rPr>
      <w:rFonts w:ascii="Arial" w:hAnsi="Arial" w:eastAsia="黑体"/>
      <w:b/>
      <w:sz w:val="24"/>
    </w:rPr>
  </w:style>
  <w:style w:type="character" w:customStyle="1" w:styleId="62">
    <w:name w:val="标题 7 字符"/>
    <w:basedOn w:val="50"/>
    <w:link w:val="8"/>
    <w:qFormat/>
    <w:uiPriority w:val="0"/>
    <w:rPr>
      <w:b/>
      <w:sz w:val="24"/>
    </w:rPr>
  </w:style>
  <w:style w:type="character" w:customStyle="1" w:styleId="63">
    <w:name w:val="标题 8 字符"/>
    <w:basedOn w:val="50"/>
    <w:link w:val="9"/>
    <w:qFormat/>
    <w:uiPriority w:val="0"/>
    <w:rPr>
      <w:rFonts w:ascii="Arial" w:hAnsi="Arial" w:eastAsia="黑体"/>
      <w:sz w:val="24"/>
    </w:rPr>
  </w:style>
  <w:style w:type="character" w:customStyle="1" w:styleId="64">
    <w:name w:val="标题 9 字符"/>
    <w:basedOn w:val="50"/>
    <w:link w:val="10"/>
    <w:qFormat/>
    <w:uiPriority w:val="0"/>
    <w:rPr>
      <w:rFonts w:ascii="Arial" w:hAnsi="Arial" w:eastAsia="黑体"/>
      <w:sz w:val="24"/>
    </w:rPr>
  </w:style>
  <w:style w:type="character" w:customStyle="1" w:styleId="65">
    <w:name w:val="纯文本 字符"/>
    <w:link w:val="26"/>
    <w:qFormat/>
    <w:uiPriority w:val="0"/>
    <w:rPr>
      <w:rFonts w:ascii="宋体" w:hAnsi="Courier New"/>
      <w:kern w:val="2"/>
      <w:sz w:val="21"/>
    </w:rPr>
  </w:style>
  <w:style w:type="character" w:customStyle="1" w:styleId="66">
    <w:name w:val="页脚 字符"/>
    <w:basedOn w:val="50"/>
    <w:link w:val="31"/>
    <w:qFormat/>
    <w:uiPriority w:val="99"/>
    <w:rPr>
      <w:kern w:val="2"/>
      <w:sz w:val="18"/>
    </w:rPr>
  </w:style>
  <w:style w:type="character" w:customStyle="1" w:styleId="67">
    <w:name w:val="页眉 字符"/>
    <w:link w:val="32"/>
    <w:qFormat/>
    <w:uiPriority w:val="99"/>
    <w:rPr>
      <w:kern w:val="2"/>
      <w:sz w:val="18"/>
    </w:rPr>
  </w:style>
  <w:style w:type="character" w:customStyle="1" w:styleId="68">
    <w:name w:val="标题 字符"/>
    <w:link w:val="45"/>
    <w:qFormat/>
    <w:uiPriority w:val="0"/>
    <w:rPr>
      <w:rFonts w:ascii="黑体" w:eastAsia="黑体"/>
      <w:snapToGrid w:val="0"/>
      <w:kern w:val="2"/>
      <w:sz w:val="28"/>
    </w:rPr>
  </w:style>
  <w:style w:type="paragraph" w:customStyle="1" w:styleId="69">
    <w:name w:val="Char Char Char1 Char Char Char Char"/>
    <w:basedOn w:val="1"/>
    <w:qFormat/>
    <w:uiPriority w:val="0"/>
    <w:rPr>
      <w:szCs w:val="21"/>
    </w:rPr>
  </w:style>
  <w:style w:type="character" w:customStyle="1" w:styleId="70">
    <w:name w:val="批注框文本 字符"/>
    <w:basedOn w:val="50"/>
    <w:link w:val="30"/>
    <w:qFormat/>
    <w:uiPriority w:val="0"/>
    <w:rPr>
      <w:kern w:val="2"/>
      <w:sz w:val="18"/>
      <w:szCs w:val="18"/>
    </w:rPr>
  </w:style>
  <w:style w:type="character" w:customStyle="1" w:styleId="71">
    <w:name w:val="正文缩进 字符"/>
    <w:link w:val="16"/>
    <w:qFormat/>
    <w:uiPriority w:val="0"/>
    <w:rPr>
      <w:rFonts w:ascii="@楷体" w:hAnsi="Symbol" w:eastAsia="楷体"/>
      <w:kern w:val="28"/>
      <w:sz w:val="15"/>
    </w:rPr>
  </w:style>
  <w:style w:type="paragraph" w:customStyle="1" w:styleId="72">
    <w:name w:val="列出段落1"/>
    <w:basedOn w:val="1"/>
    <w:link w:val="73"/>
    <w:qFormat/>
    <w:uiPriority w:val="34"/>
    <w:pPr>
      <w:ind w:firstLine="420" w:firstLineChars="200"/>
    </w:pPr>
    <w:rPr>
      <w:rFonts w:ascii="Calibri" w:hAnsi="Calibri" w:cs="Calibri"/>
      <w:szCs w:val="21"/>
    </w:rPr>
  </w:style>
  <w:style w:type="character" w:customStyle="1" w:styleId="73">
    <w:name w:val="列出段落 Char"/>
    <w:link w:val="72"/>
    <w:qFormat/>
    <w:uiPriority w:val="34"/>
    <w:rPr>
      <w:rFonts w:ascii="Calibri" w:hAnsi="Calibri" w:cs="Calibri"/>
      <w:kern w:val="2"/>
      <w:sz w:val="21"/>
      <w:szCs w:val="21"/>
    </w:rPr>
  </w:style>
  <w:style w:type="character" w:customStyle="1" w:styleId="74">
    <w:name w:val="正文文本 字符"/>
    <w:basedOn w:val="50"/>
    <w:link w:val="21"/>
    <w:qFormat/>
    <w:uiPriority w:val="0"/>
    <w:rPr>
      <w:rFonts w:ascii="宋体" w:hAnsi="宋体"/>
      <w:color w:val="0000FF"/>
      <w:kern w:val="2"/>
      <w:sz w:val="24"/>
      <w:szCs w:val="24"/>
    </w:rPr>
  </w:style>
  <w:style w:type="paragraph" w:styleId="75">
    <w:name w:val="List Paragraph"/>
    <w:basedOn w:val="1"/>
    <w:qFormat/>
    <w:uiPriority w:val="34"/>
    <w:pPr>
      <w:ind w:firstLine="420" w:firstLineChars="200"/>
    </w:pPr>
  </w:style>
  <w:style w:type="table" w:customStyle="1" w:styleId="76">
    <w:name w:val="网格型1"/>
    <w:basedOn w:val="4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7">
    <w:name w:val="正文缩进 Char"/>
    <w:qFormat/>
    <w:uiPriority w:val="0"/>
    <w:rPr>
      <w:rFonts w:ascii="@楷体" w:hAnsi="Symbol" w:eastAsia="楷体"/>
      <w:kern w:val="28"/>
      <w:sz w:val="15"/>
      <w:lang w:val="en-US" w:eastAsia="zh-CN" w:bidi="ar-SA"/>
    </w:rPr>
  </w:style>
  <w:style w:type="character" w:customStyle="1" w:styleId="78">
    <w:name w:val="文档结构图 字符1"/>
    <w:link w:val="17"/>
    <w:qFormat/>
    <w:uiPriority w:val="0"/>
    <w:rPr>
      <w:rFonts w:ascii="宋体"/>
      <w:kern w:val="2"/>
      <w:sz w:val="18"/>
      <w:szCs w:val="18"/>
    </w:rPr>
  </w:style>
  <w:style w:type="character" w:customStyle="1" w:styleId="79">
    <w:name w:val="文档结构图 字符"/>
    <w:basedOn w:val="50"/>
    <w:qFormat/>
    <w:uiPriority w:val="0"/>
    <w:rPr>
      <w:rFonts w:ascii="Microsoft YaHei UI" w:eastAsia="Microsoft YaHei UI"/>
      <w:kern w:val="2"/>
      <w:sz w:val="18"/>
      <w:szCs w:val="18"/>
    </w:rPr>
  </w:style>
  <w:style w:type="character" w:customStyle="1" w:styleId="80">
    <w:name w:val="批注文字 字符"/>
    <w:basedOn w:val="50"/>
    <w:link w:val="18"/>
    <w:qFormat/>
    <w:uiPriority w:val="0"/>
    <w:rPr>
      <w:kern w:val="2"/>
      <w:sz w:val="21"/>
    </w:rPr>
  </w:style>
  <w:style w:type="character" w:customStyle="1" w:styleId="81">
    <w:name w:val="正文文本缩进 字符"/>
    <w:basedOn w:val="50"/>
    <w:link w:val="22"/>
    <w:qFormat/>
    <w:uiPriority w:val="0"/>
    <w:rPr>
      <w:kern w:val="2"/>
      <w:sz w:val="21"/>
      <w:szCs w:val="24"/>
    </w:rPr>
  </w:style>
  <w:style w:type="character" w:customStyle="1" w:styleId="82">
    <w:name w:val="纯文本 Char"/>
    <w:qFormat/>
    <w:uiPriority w:val="0"/>
    <w:rPr>
      <w:rFonts w:ascii="宋体" w:hAnsi="Courier New"/>
      <w:kern w:val="2"/>
      <w:sz w:val="21"/>
    </w:rPr>
  </w:style>
  <w:style w:type="character" w:customStyle="1" w:styleId="83">
    <w:name w:val="日期 字符"/>
    <w:basedOn w:val="50"/>
    <w:link w:val="28"/>
    <w:qFormat/>
    <w:uiPriority w:val="0"/>
    <w:rPr>
      <w:kern w:val="2"/>
      <w:sz w:val="21"/>
    </w:rPr>
  </w:style>
  <w:style w:type="character" w:customStyle="1" w:styleId="84">
    <w:name w:val="正文文本缩进 2 字符"/>
    <w:basedOn w:val="50"/>
    <w:link w:val="29"/>
    <w:qFormat/>
    <w:uiPriority w:val="0"/>
    <w:rPr>
      <w:rFonts w:ascii="宋体" w:hAnsi="宋体"/>
      <w:color w:val="FF0000"/>
      <w:kern w:val="2"/>
      <w:sz w:val="24"/>
      <w:szCs w:val="24"/>
    </w:rPr>
  </w:style>
  <w:style w:type="character" w:customStyle="1" w:styleId="85">
    <w:name w:val="页脚 Char"/>
    <w:qFormat/>
    <w:uiPriority w:val="0"/>
    <w:rPr>
      <w:kern w:val="2"/>
      <w:sz w:val="18"/>
      <w:szCs w:val="18"/>
      <w:lang w:val="en-US" w:eastAsia="zh-CN"/>
    </w:rPr>
  </w:style>
  <w:style w:type="character" w:customStyle="1" w:styleId="86">
    <w:name w:val="正文文本缩进 3 字符"/>
    <w:basedOn w:val="50"/>
    <w:link w:val="37"/>
    <w:qFormat/>
    <w:uiPriority w:val="0"/>
    <w:rPr>
      <w:rFonts w:ascii="宋体"/>
      <w:kern w:val="2"/>
      <w:sz w:val="24"/>
      <w:szCs w:val="24"/>
    </w:rPr>
  </w:style>
  <w:style w:type="character" w:customStyle="1" w:styleId="87">
    <w:name w:val="正文文本 2 字符"/>
    <w:basedOn w:val="50"/>
    <w:link w:val="40"/>
    <w:qFormat/>
    <w:uiPriority w:val="0"/>
    <w:rPr>
      <w:rFonts w:ascii="宋体"/>
      <w:b/>
      <w:bCs/>
      <w:color w:val="0000FF"/>
      <w:kern w:val="2"/>
      <w:sz w:val="30"/>
      <w:szCs w:val="24"/>
    </w:rPr>
  </w:style>
  <w:style w:type="character" w:customStyle="1" w:styleId="88">
    <w:name w:val="HTML 预设格式 字符1"/>
    <w:link w:val="42"/>
    <w:qFormat/>
    <w:uiPriority w:val="99"/>
    <w:rPr>
      <w:rFonts w:ascii="宋体" w:hAnsi="宋体" w:cs="宋体"/>
      <w:sz w:val="24"/>
      <w:szCs w:val="24"/>
    </w:rPr>
  </w:style>
  <w:style w:type="character" w:customStyle="1" w:styleId="89">
    <w:name w:val="HTML 预设格式 字符"/>
    <w:basedOn w:val="50"/>
    <w:semiHidden/>
    <w:qFormat/>
    <w:uiPriority w:val="99"/>
    <w:rPr>
      <w:rFonts w:ascii="Courier New" w:hAnsi="Courier New" w:cs="Courier New"/>
      <w:kern w:val="2"/>
    </w:rPr>
  </w:style>
  <w:style w:type="character" w:customStyle="1" w:styleId="90">
    <w:name w:val="批注主题 字符"/>
    <w:basedOn w:val="80"/>
    <w:link w:val="46"/>
    <w:semiHidden/>
    <w:qFormat/>
    <w:uiPriority w:val="0"/>
    <w:rPr>
      <w:b/>
      <w:bCs/>
      <w:kern w:val="2"/>
      <w:sz w:val="21"/>
      <w:szCs w:val="24"/>
    </w:rPr>
  </w:style>
  <w:style w:type="character" w:customStyle="1" w:styleId="91">
    <w:name w:val="txt41"/>
    <w:qFormat/>
    <w:uiPriority w:val="0"/>
    <w:rPr>
      <w:b/>
      <w:bCs/>
      <w:color w:val="000000"/>
      <w:sz w:val="29"/>
      <w:szCs w:val="29"/>
    </w:rPr>
  </w:style>
  <w:style w:type="character" w:customStyle="1" w:styleId="92">
    <w:name w:val="样式12 Char"/>
    <w:link w:val="93"/>
    <w:qFormat/>
    <w:locked/>
    <w:uiPriority w:val="0"/>
    <w:rPr>
      <w:kern w:val="2"/>
      <w:sz w:val="24"/>
    </w:rPr>
  </w:style>
  <w:style w:type="paragraph" w:customStyle="1" w:styleId="93">
    <w:name w:val="样式12"/>
    <w:basedOn w:val="1"/>
    <w:link w:val="92"/>
    <w:qFormat/>
    <w:uiPriority w:val="0"/>
    <w:pPr>
      <w:tabs>
        <w:tab w:val="left" w:pos="533"/>
      </w:tabs>
      <w:ind w:left="420" w:hanging="420"/>
    </w:pPr>
    <w:rPr>
      <w:sz w:val="24"/>
    </w:rPr>
  </w:style>
  <w:style w:type="character" w:customStyle="1" w:styleId="94">
    <w:name w:val="txt91"/>
    <w:qFormat/>
    <w:uiPriority w:val="0"/>
    <w:rPr>
      <w:b/>
      <w:bCs/>
      <w:color w:val="330066"/>
      <w:sz w:val="22"/>
      <w:szCs w:val="22"/>
    </w:rPr>
  </w:style>
  <w:style w:type="character" w:customStyle="1" w:styleId="95">
    <w:name w:val="txt14"/>
    <w:qFormat/>
    <w:uiPriority w:val="0"/>
    <w:rPr>
      <w:color w:val="000000"/>
      <w:sz w:val="29"/>
      <w:szCs w:val="29"/>
    </w:rPr>
  </w:style>
  <w:style w:type="paragraph" w:customStyle="1" w:styleId="96">
    <w:name w:val="大标题"/>
    <w:basedOn w:val="1"/>
    <w:qFormat/>
    <w:uiPriority w:val="0"/>
    <w:pPr>
      <w:jc w:val="center"/>
    </w:pPr>
    <w:rPr>
      <w:rFonts w:ascii="黑体" w:eastAsia="黑体" w:cs="宋体"/>
      <w:b/>
      <w:bCs/>
      <w:sz w:val="32"/>
    </w:rPr>
  </w:style>
  <w:style w:type="paragraph" w:customStyle="1" w:styleId="97">
    <w:name w:val="4 Char"/>
    <w:basedOn w:val="1"/>
    <w:qFormat/>
    <w:uiPriority w:val="0"/>
    <w:rPr>
      <w:szCs w:val="24"/>
    </w:rPr>
  </w:style>
  <w:style w:type="paragraph" w:customStyle="1" w:styleId="98">
    <w:name w:val="Char Char Char1"/>
    <w:basedOn w:val="1"/>
    <w:qFormat/>
    <w:uiPriority w:val="0"/>
    <w:rPr>
      <w:szCs w:val="24"/>
    </w:rPr>
  </w:style>
  <w:style w:type="paragraph" w:customStyle="1" w:styleId="99">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00">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01">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02">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03">
    <w:name w:val="Char"/>
    <w:basedOn w:val="1"/>
    <w:qFormat/>
    <w:uiPriority w:val="0"/>
    <w:rPr>
      <w:szCs w:val="21"/>
    </w:rPr>
  </w:style>
  <w:style w:type="paragraph" w:customStyle="1" w:styleId="104">
    <w:name w:val="列出段落2"/>
    <w:basedOn w:val="1"/>
    <w:qFormat/>
    <w:uiPriority w:val="0"/>
    <w:pPr>
      <w:ind w:firstLine="420" w:firstLineChars="200"/>
    </w:pPr>
    <w:rPr>
      <w:rFonts w:ascii="Calibri" w:hAnsi="Calibri" w:cs="Calibri"/>
      <w:szCs w:val="21"/>
    </w:rPr>
  </w:style>
  <w:style w:type="paragraph" w:customStyle="1" w:styleId="105">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6">
    <w:name w:val="Char1"/>
    <w:basedOn w:val="1"/>
    <w:qFormat/>
    <w:uiPriority w:val="0"/>
    <w:rPr>
      <w:szCs w:val="24"/>
    </w:rPr>
  </w:style>
  <w:style w:type="paragraph" w:customStyle="1" w:styleId="107">
    <w:name w:val="Char Char Char Char"/>
    <w:basedOn w:val="1"/>
    <w:qFormat/>
    <w:uiPriority w:val="0"/>
    <w:pPr>
      <w:adjustRightInd w:val="0"/>
      <w:spacing w:line="360" w:lineRule="auto"/>
    </w:pPr>
    <w:rPr>
      <w:rFonts w:ascii="Tahoma" w:hAnsi="Tahoma"/>
      <w:kern w:val="0"/>
      <w:sz w:val="24"/>
    </w:rPr>
  </w:style>
  <w:style w:type="paragraph" w:customStyle="1" w:styleId="108">
    <w:name w:val="内容文字"/>
    <w:basedOn w:val="1"/>
    <w:qFormat/>
    <w:uiPriority w:val="0"/>
    <w:pPr>
      <w:spacing w:line="360" w:lineRule="exact"/>
    </w:pPr>
    <w:rPr>
      <w:rFonts w:ascii="宋体"/>
      <w:sz w:val="24"/>
    </w:rPr>
  </w:style>
  <w:style w:type="paragraph" w:customStyle="1" w:styleId="109">
    <w:name w:val="tablecontents"/>
    <w:basedOn w:val="1"/>
    <w:qFormat/>
    <w:uiPriority w:val="0"/>
    <w:pPr>
      <w:widowControl/>
      <w:spacing w:after="60"/>
    </w:pPr>
    <w:rPr>
      <w:rFonts w:ascii="Arial" w:hAnsi="Arial"/>
      <w:kern w:val="0"/>
      <w:sz w:val="20"/>
    </w:rPr>
  </w:style>
  <w:style w:type="paragraph" w:customStyle="1" w:styleId="110">
    <w:name w:val="5 Char Char Char Char"/>
    <w:basedOn w:val="1"/>
    <w:qFormat/>
    <w:uiPriority w:val="0"/>
    <w:pPr>
      <w:keepNext/>
      <w:keepLines/>
      <w:spacing w:line="360" w:lineRule="auto"/>
      <w:ind w:firstLine="480" w:firstLineChars="200"/>
    </w:pPr>
    <w:rPr>
      <w:kern w:val="0"/>
      <w:sz w:val="24"/>
    </w:rPr>
  </w:style>
  <w:style w:type="paragraph" w:customStyle="1" w:styleId="111">
    <w:name w:val="Char Char Char Char Char Char Char"/>
    <w:basedOn w:val="1"/>
    <w:qFormat/>
    <w:uiPriority w:val="0"/>
    <w:pPr>
      <w:adjustRightInd w:val="0"/>
      <w:spacing w:line="360" w:lineRule="auto"/>
    </w:pPr>
    <w:rPr>
      <w:rFonts w:ascii="Tahoma" w:hAnsi="Tahoma"/>
      <w:kern w:val="0"/>
      <w:sz w:val="24"/>
    </w:rPr>
  </w:style>
  <w:style w:type="character" w:customStyle="1" w:styleId="112">
    <w:name w:val="readmail_locationtip"/>
    <w:qFormat/>
    <w:uiPriority w:val="0"/>
  </w:style>
  <w:style w:type="table" w:customStyle="1" w:styleId="113">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4">
    <w:name w:val="TOC 11"/>
    <w:basedOn w:val="1"/>
    <w:next w:val="1"/>
    <w:qFormat/>
    <w:locked/>
    <w:uiPriority w:val="39"/>
    <w:rPr>
      <w:szCs w:val="21"/>
    </w:rPr>
  </w:style>
  <w:style w:type="character" w:customStyle="1" w:styleId="115">
    <w:name w:val="副标题 字符"/>
    <w:basedOn w:val="50"/>
    <w:link w:val="35"/>
    <w:qFormat/>
    <w:uiPriority w:val="0"/>
    <w:rPr>
      <w:rFonts w:ascii="Cambria" w:hAnsi="Cambria"/>
      <w:b/>
      <w:bCs/>
      <w:kern w:val="28"/>
      <w:sz w:val="32"/>
      <w:szCs w:val="32"/>
    </w:rPr>
  </w:style>
  <w:style w:type="character" w:customStyle="1" w:styleId="116">
    <w:name w:val="技术规范书正文 Char"/>
    <w:link w:val="117"/>
    <w:qFormat/>
    <w:locked/>
    <w:uiPriority w:val="0"/>
    <w:rPr>
      <w:kern w:val="2"/>
      <w:sz w:val="24"/>
      <w:szCs w:val="24"/>
    </w:rPr>
  </w:style>
  <w:style w:type="paragraph" w:customStyle="1" w:styleId="117">
    <w:name w:val="技术规范书正文"/>
    <w:link w:val="116"/>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18">
    <w:name w:val="TOC 41"/>
    <w:basedOn w:val="1"/>
    <w:next w:val="1"/>
    <w:qFormat/>
    <w:locked/>
    <w:uiPriority w:val="0"/>
    <w:pPr>
      <w:ind w:left="1260" w:leftChars="600"/>
    </w:pPr>
    <w:rPr>
      <w:szCs w:val="21"/>
    </w:rPr>
  </w:style>
  <w:style w:type="paragraph" w:customStyle="1" w:styleId="119">
    <w:name w:val="TOC 51"/>
    <w:basedOn w:val="1"/>
    <w:next w:val="1"/>
    <w:qFormat/>
    <w:locked/>
    <w:uiPriority w:val="0"/>
    <w:pPr>
      <w:ind w:left="1680" w:leftChars="800"/>
    </w:pPr>
    <w:rPr>
      <w:szCs w:val="21"/>
    </w:rPr>
  </w:style>
  <w:style w:type="paragraph" w:customStyle="1" w:styleId="120">
    <w:name w:val="TOC 71"/>
    <w:basedOn w:val="1"/>
    <w:next w:val="1"/>
    <w:qFormat/>
    <w:locked/>
    <w:uiPriority w:val="0"/>
    <w:pPr>
      <w:ind w:left="2520" w:leftChars="1200"/>
    </w:pPr>
    <w:rPr>
      <w:szCs w:val="21"/>
    </w:rPr>
  </w:style>
  <w:style w:type="paragraph" w:customStyle="1" w:styleId="121">
    <w:name w:val="TOC 21"/>
    <w:basedOn w:val="1"/>
    <w:next w:val="1"/>
    <w:qFormat/>
    <w:locked/>
    <w:uiPriority w:val="0"/>
    <w:pPr>
      <w:ind w:left="420" w:leftChars="200"/>
    </w:pPr>
    <w:rPr>
      <w:szCs w:val="21"/>
    </w:rPr>
  </w:style>
  <w:style w:type="paragraph" w:customStyle="1" w:styleId="122">
    <w:name w:val="TOC 61"/>
    <w:basedOn w:val="1"/>
    <w:next w:val="1"/>
    <w:qFormat/>
    <w:locked/>
    <w:uiPriority w:val="0"/>
    <w:pPr>
      <w:ind w:left="2100" w:leftChars="1000"/>
    </w:pPr>
    <w:rPr>
      <w:szCs w:val="21"/>
    </w:rPr>
  </w:style>
  <w:style w:type="paragraph" w:customStyle="1" w:styleId="123">
    <w:name w:val="TOC 31"/>
    <w:basedOn w:val="1"/>
    <w:next w:val="1"/>
    <w:qFormat/>
    <w:locked/>
    <w:uiPriority w:val="0"/>
    <w:pPr>
      <w:ind w:left="840" w:leftChars="400"/>
    </w:pPr>
    <w:rPr>
      <w:szCs w:val="21"/>
    </w:rPr>
  </w:style>
  <w:style w:type="paragraph" w:customStyle="1" w:styleId="124">
    <w:name w:val="TOC 91"/>
    <w:basedOn w:val="1"/>
    <w:next w:val="1"/>
    <w:qFormat/>
    <w:locked/>
    <w:uiPriority w:val="0"/>
    <w:pPr>
      <w:ind w:left="3360" w:leftChars="1600"/>
    </w:pPr>
    <w:rPr>
      <w:szCs w:val="21"/>
    </w:rPr>
  </w:style>
  <w:style w:type="paragraph" w:customStyle="1" w:styleId="125">
    <w:name w:val="TOC 81"/>
    <w:basedOn w:val="1"/>
    <w:next w:val="1"/>
    <w:qFormat/>
    <w:locked/>
    <w:uiPriority w:val="0"/>
    <w:pPr>
      <w:ind w:left="2940" w:leftChars="1400"/>
    </w:pPr>
    <w:rPr>
      <w:szCs w:val="21"/>
    </w:rPr>
  </w:style>
  <w:style w:type="paragraph" w:customStyle="1" w:styleId="126">
    <w:name w:val="正文缩进1"/>
    <w:basedOn w:val="1"/>
    <w:qFormat/>
    <w:uiPriority w:val="0"/>
    <w:pPr>
      <w:adjustRightInd w:val="0"/>
      <w:spacing w:line="360" w:lineRule="atLeast"/>
      <w:ind w:firstLine="420"/>
      <w:jc w:val="left"/>
      <w:textAlignment w:val="baseline"/>
    </w:pPr>
    <w:rPr>
      <w:kern w:val="0"/>
      <w:sz w:val="24"/>
    </w:rPr>
  </w:style>
  <w:style w:type="paragraph" w:customStyle="1" w:styleId="127">
    <w:name w:val="正文1"/>
    <w:basedOn w:val="1"/>
    <w:link w:val="172"/>
    <w:qFormat/>
    <w:uiPriority w:val="0"/>
    <w:pPr>
      <w:adjustRightInd w:val="0"/>
      <w:spacing w:line="360" w:lineRule="atLeast"/>
      <w:jc w:val="left"/>
      <w:textAlignment w:val="baseline"/>
    </w:pPr>
    <w:rPr>
      <w:rFonts w:ascii="宋体"/>
      <w:kern w:val="0"/>
      <w:sz w:val="24"/>
    </w:rPr>
  </w:style>
  <w:style w:type="paragraph" w:customStyle="1" w:styleId="128">
    <w:name w:val="样式1"/>
    <w:basedOn w:val="1"/>
    <w:link w:val="171"/>
    <w:qFormat/>
    <w:uiPriority w:val="0"/>
    <w:pPr>
      <w:adjustRightInd w:val="0"/>
      <w:spacing w:line="420" w:lineRule="auto"/>
      <w:jc w:val="center"/>
      <w:textAlignment w:val="baseline"/>
    </w:pPr>
    <w:rPr>
      <w:rFonts w:ascii="宋体"/>
      <w:kern w:val="0"/>
      <w:sz w:val="24"/>
      <w:szCs w:val="24"/>
    </w:rPr>
  </w:style>
  <w:style w:type="paragraph" w:customStyle="1" w:styleId="129">
    <w:name w:val="Char Char1 Char"/>
    <w:basedOn w:val="1"/>
    <w:qFormat/>
    <w:uiPriority w:val="0"/>
    <w:rPr>
      <w:rFonts w:ascii="宋体"/>
      <w:kern w:val="0"/>
      <w:sz w:val="24"/>
    </w:rPr>
  </w:style>
  <w:style w:type="paragraph" w:customStyle="1" w:styleId="130">
    <w:name w:val="纯文本1"/>
    <w:basedOn w:val="1"/>
    <w:qFormat/>
    <w:uiPriority w:val="0"/>
    <w:rPr>
      <w:rFonts w:ascii="宋体" w:hAnsi="Courier New"/>
    </w:rPr>
  </w:style>
  <w:style w:type="paragraph" w:customStyle="1" w:styleId="131">
    <w:name w:val="p0"/>
    <w:basedOn w:val="1"/>
    <w:qFormat/>
    <w:uiPriority w:val="0"/>
    <w:pPr>
      <w:widowControl/>
    </w:pPr>
    <w:rPr>
      <w:kern w:val="0"/>
      <w:szCs w:val="21"/>
    </w:rPr>
  </w:style>
  <w:style w:type="paragraph" w:customStyle="1" w:styleId="132">
    <w:name w:val="Char Char Char Char1"/>
    <w:basedOn w:val="1"/>
    <w:qFormat/>
    <w:uiPriority w:val="0"/>
    <w:rPr>
      <w:szCs w:val="24"/>
    </w:rPr>
  </w:style>
  <w:style w:type="character" w:customStyle="1" w:styleId="133">
    <w:name w:val="正文文本首行缩进 字符"/>
    <w:basedOn w:val="74"/>
    <w:link w:val="47"/>
    <w:qFormat/>
    <w:uiPriority w:val="0"/>
    <w:rPr>
      <w:rFonts w:ascii="宋体" w:hAnsi="宋体"/>
      <w:color w:val="0000FF"/>
      <w:kern w:val="2"/>
      <w:sz w:val="24"/>
      <w:szCs w:val="24"/>
    </w:rPr>
  </w:style>
  <w:style w:type="character" w:customStyle="1" w:styleId="134">
    <w:name w:val="标题 1 Char1"/>
    <w:basedOn w:val="50"/>
    <w:qFormat/>
    <w:uiPriority w:val="0"/>
    <w:rPr>
      <w:rFonts w:eastAsia="宋体"/>
      <w:b/>
      <w:bCs/>
      <w:color w:val="000000"/>
      <w:kern w:val="44"/>
      <w:sz w:val="24"/>
      <w:szCs w:val="32"/>
      <w:lang w:val="en-US" w:eastAsia="zh-CN" w:bidi="ar-SA"/>
    </w:rPr>
  </w:style>
  <w:style w:type="character" w:customStyle="1" w:styleId="135">
    <w:name w:val="标题 2 Char1"/>
    <w:basedOn w:val="50"/>
    <w:qFormat/>
    <w:uiPriority w:val="0"/>
    <w:rPr>
      <w:rFonts w:eastAsia="宋体"/>
      <w:b/>
      <w:bCs/>
      <w:kern w:val="2"/>
      <w:sz w:val="24"/>
      <w:lang w:val="en-US" w:eastAsia="zh-CN" w:bidi="ar-SA"/>
    </w:rPr>
  </w:style>
  <w:style w:type="paragraph" w:customStyle="1" w:styleId="136">
    <w:name w:val="Char Char Char"/>
    <w:basedOn w:val="1"/>
    <w:qFormat/>
    <w:uiPriority w:val="0"/>
    <w:rPr>
      <w:sz w:val="24"/>
      <w:szCs w:val="24"/>
    </w:rPr>
  </w:style>
  <w:style w:type="paragraph" w:customStyle="1" w:styleId="137">
    <w:name w:val="Char1 Char Char Char"/>
    <w:basedOn w:val="1"/>
    <w:qFormat/>
    <w:uiPriority w:val="0"/>
    <w:rPr>
      <w:sz w:val="24"/>
      <w:szCs w:val="24"/>
    </w:rPr>
  </w:style>
  <w:style w:type="paragraph" w:customStyle="1" w:styleId="138">
    <w:name w:val="Char Char Char Char Char Char Char Char Char Char Char Char"/>
    <w:basedOn w:val="1"/>
    <w:qFormat/>
    <w:uiPriority w:val="0"/>
    <w:rPr>
      <w:szCs w:val="24"/>
    </w:rPr>
  </w:style>
  <w:style w:type="paragraph" w:customStyle="1" w:styleId="139">
    <w:name w:val="Char Char2 Char Char Char Char Char Char Char Char Char1"/>
    <w:basedOn w:val="1"/>
    <w:qFormat/>
    <w:uiPriority w:val="0"/>
    <w:rPr>
      <w:sz w:val="24"/>
      <w:szCs w:val="24"/>
    </w:rPr>
  </w:style>
  <w:style w:type="paragraph" w:customStyle="1" w:styleId="140">
    <w:name w:val="Char Char"/>
    <w:basedOn w:val="1"/>
    <w:qFormat/>
    <w:uiPriority w:val="0"/>
    <w:rPr>
      <w:sz w:val="24"/>
      <w:szCs w:val="24"/>
    </w:rPr>
  </w:style>
  <w:style w:type="paragraph" w:customStyle="1" w:styleId="141">
    <w:name w:val="表格"/>
    <w:basedOn w:val="1"/>
    <w:qFormat/>
    <w:uiPriority w:val="0"/>
    <w:pPr>
      <w:adjustRightInd w:val="0"/>
      <w:spacing w:before="60" w:after="60"/>
      <w:jc w:val="center"/>
      <w:textAlignment w:val="baseline"/>
    </w:pPr>
    <w:rPr>
      <w:rFonts w:ascii="宋体"/>
      <w:kern w:val="0"/>
      <w:sz w:val="24"/>
    </w:rPr>
  </w:style>
  <w:style w:type="paragraph" w:customStyle="1" w:styleId="142">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43">
    <w:name w:val="样式2"/>
    <w:basedOn w:val="1"/>
    <w:link w:val="167"/>
    <w:qFormat/>
    <w:uiPriority w:val="0"/>
    <w:pPr>
      <w:adjustRightInd w:val="0"/>
      <w:spacing w:line="410" w:lineRule="atLeast"/>
      <w:jc w:val="left"/>
      <w:textAlignment w:val="baseline"/>
    </w:pPr>
    <w:rPr>
      <w:kern w:val="0"/>
      <w:sz w:val="24"/>
    </w:rPr>
  </w:style>
  <w:style w:type="paragraph" w:customStyle="1" w:styleId="144">
    <w:name w:val="1-表内"/>
    <w:basedOn w:val="1"/>
    <w:qFormat/>
    <w:uiPriority w:val="0"/>
    <w:rPr>
      <w:rFonts w:ascii="宋体" w:hAnsi="宋体"/>
      <w:szCs w:val="21"/>
    </w:rPr>
  </w:style>
  <w:style w:type="paragraph" w:customStyle="1" w:styleId="145">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46">
    <w:name w:val="Char Char Char Char Char Char Char Char Char Char Char Char1 Char Char Char Char"/>
    <w:basedOn w:val="1"/>
    <w:qFormat/>
    <w:uiPriority w:val="0"/>
    <w:rPr>
      <w:szCs w:val="24"/>
    </w:rPr>
  </w:style>
  <w:style w:type="character" w:customStyle="1" w:styleId="147">
    <w:name w:val="章节标题 Char Char"/>
    <w:basedOn w:val="50"/>
    <w:qFormat/>
    <w:uiPriority w:val="0"/>
    <w:rPr>
      <w:kern w:val="44"/>
      <w:sz w:val="44"/>
      <w:szCs w:val="44"/>
    </w:rPr>
  </w:style>
  <w:style w:type="paragraph" w:customStyle="1" w:styleId="148">
    <w:name w:val="Char Char Char Char Char Char1"/>
    <w:basedOn w:val="1"/>
    <w:qFormat/>
    <w:uiPriority w:val="0"/>
    <w:rPr>
      <w:szCs w:val="24"/>
    </w:rPr>
  </w:style>
  <w:style w:type="paragraph" w:customStyle="1" w:styleId="149">
    <w:name w:val="报告正文"/>
    <w:basedOn w:val="1"/>
    <w:qFormat/>
    <w:uiPriority w:val="0"/>
    <w:pPr>
      <w:spacing w:line="400" w:lineRule="exact"/>
      <w:ind w:firstLine="482"/>
    </w:pPr>
    <w:rPr>
      <w:lang w:bidi="he-IL"/>
    </w:rPr>
  </w:style>
  <w:style w:type="paragraph" w:customStyle="1" w:styleId="150">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1">
    <w:name w:val="Char Char Char2"/>
    <w:basedOn w:val="1"/>
    <w:qFormat/>
    <w:uiPriority w:val="0"/>
    <w:rPr>
      <w:szCs w:val="24"/>
    </w:rPr>
  </w:style>
  <w:style w:type="paragraph" w:customStyle="1" w:styleId="152">
    <w:name w:val="默认段落字体 Para Char Char Char Char"/>
    <w:basedOn w:val="1"/>
    <w:qFormat/>
    <w:uiPriority w:val="0"/>
    <w:rPr>
      <w:szCs w:val="24"/>
    </w:rPr>
  </w:style>
  <w:style w:type="paragraph" w:customStyle="1" w:styleId="153">
    <w:name w:val="Char Char1"/>
    <w:basedOn w:val="1"/>
    <w:qFormat/>
    <w:uiPriority w:val="0"/>
    <w:pPr>
      <w:adjustRightInd w:val="0"/>
      <w:spacing w:line="360" w:lineRule="atLeast"/>
      <w:jc w:val="left"/>
      <w:textAlignment w:val="baseline"/>
    </w:pPr>
    <w:rPr>
      <w:kern w:val="0"/>
      <w:sz w:val="24"/>
    </w:rPr>
  </w:style>
  <w:style w:type="character" w:customStyle="1" w:styleId="154">
    <w:name w:val="章节标题 Char"/>
    <w:qFormat/>
    <w:uiPriority w:val="0"/>
    <w:rPr>
      <w:rFonts w:eastAsia="宋体"/>
      <w:b/>
      <w:bCs/>
      <w:kern w:val="44"/>
      <w:sz w:val="44"/>
      <w:szCs w:val="44"/>
      <w:lang w:val="en-US" w:eastAsia="zh-CN" w:bidi="ar-SA"/>
    </w:rPr>
  </w:style>
  <w:style w:type="character" w:customStyle="1" w:styleId="155">
    <w:name w:val="标题 2 Char"/>
    <w:qFormat/>
    <w:uiPriority w:val="0"/>
    <w:rPr>
      <w:rFonts w:ascii="Arial" w:hAnsi="Arial" w:eastAsia="黑体"/>
      <w:b/>
      <w:bCs/>
      <w:kern w:val="2"/>
      <w:sz w:val="32"/>
      <w:szCs w:val="32"/>
      <w:lang w:val="en-US" w:eastAsia="zh-CN" w:bidi="ar-SA"/>
    </w:rPr>
  </w:style>
  <w:style w:type="character" w:customStyle="1" w:styleId="156">
    <w:name w:val="标题 3 Char"/>
    <w:qFormat/>
    <w:uiPriority w:val="0"/>
    <w:rPr>
      <w:rFonts w:eastAsia="宋体"/>
      <w:b/>
      <w:bCs/>
      <w:kern w:val="2"/>
      <w:sz w:val="32"/>
      <w:szCs w:val="32"/>
      <w:lang w:val="en-US" w:eastAsia="zh-CN" w:bidi="ar-SA"/>
    </w:rPr>
  </w:style>
  <w:style w:type="character" w:customStyle="1" w:styleId="157">
    <w:name w:val="标题 4 Char"/>
    <w:qFormat/>
    <w:uiPriority w:val="0"/>
    <w:rPr>
      <w:rFonts w:ascii="Arial" w:hAnsi="Arial" w:eastAsia="黑体"/>
      <w:b/>
      <w:bCs/>
      <w:kern w:val="2"/>
      <w:sz w:val="28"/>
      <w:szCs w:val="28"/>
      <w:lang w:val="en-US" w:eastAsia="zh-CN" w:bidi="ar-SA"/>
    </w:rPr>
  </w:style>
  <w:style w:type="character" w:customStyle="1" w:styleId="158">
    <w:name w:val="正文缩进 Char1"/>
    <w:qFormat/>
    <w:uiPriority w:val="0"/>
    <w:rPr>
      <w:rFonts w:eastAsia="宋体"/>
      <w:kern w:val="2"/>
      <w:sz w:val="21"/>
      <w:szCs w:val="24"/>
      <w:lang w:val="en-US" w:eastAsia="zh-CN" w:bidi="ar-SA"/>
    </w:rPr>
  </w:style>
  <w:style w:type="character" w:customStyle="1" w:styleId="159">
    <w:name w:val="标题 5 Char"/>
    <w:qFormat/>
    <w:uiPriority w:val="0"/>
    <w:rPr>
      <w:rFonts w:ascii="小标宋" w:eastAsia="宋体"/>
      <w:kern w:val="2"/>
      <w:sz w:val="24"/>
      <w:szCs w:val="24"/>
      <w:lang w:val="en-US" w:eastAsia="zh-CN" w:bidi="he-IL"/>
    </w:rPr>
  </w:style>
  <w:style w:type="character" w:customStyle="1" w:styleId="160">
    <w:name w:val="标题 6 Char"/>
    <w:qFormat/>
    <w:uiPriority w:val="0"/>
    <w:rPr>
      <w:rFonts w:ascii="Arial" w:hAnsi="Arial" w:eastAsia="黑体"/>
      <w:kern w:val="2"/>
      <w:sz w:val="24"/>
      <w:szCs w:val="24"/>
      <w:lang w:val="en-US" w:eastAsia="zh-CN" w:bidi="he-IL"/>
    </w:rPr>
  </w:style>
  <w:style w:type="character" w:customStyle="1" w:styleId="161">
    <w:name w:val="标题 7 Char"/>
    <w:qFormat/>
    <w:uiPriority w:val="0"/>
    <w:rPr>
      <w:rFonts w:ascii="宋体" w:eastAsia="宋体"/>
      <w:kern w:val="2"/>
      <w:sz w:val="24"/>
      <w:szCs w:val="24"/>
      <w:lang w:val="en-US" w:eastAsia="zh-CN" w:bidi="he-IL"/>
    </w:rPr>
  </w:style>
  <w:style w:type="character" w:customStyle="1" w:styleId="162">
    <w:name w:val="标题 9 Char"/>
    <w:qFormat/>
    <w:uiPriority w:val="0"/>
    <w:rPr>
      <w:rFonts w:ascii="Arial" w:hAnsi="Arial" w:eastAsia="黑体"/>
      <w:kern w:val="2"/>
      <w:sz w:val="21"/>
      <w:szCs w:val="21"/>
      <w:lang w:val="en-US" w:eastAsia="zh-CN" w:bidi="ar-SA"/>
    </w:rPr>
  </w:style>
  <w:style w:type="character" w:customStyle="1" w:styleId="163">
    <w:name w:val="日期 Char"/>
    <w:qFormat/>
    <w:uiPriority w:val="0"/>
    <w:rPr>
      <w:rFonts w:eastAsia="宋体"/>
      <w:kern w:val="2"/>
      <w:sz w:val="21"/>
      <w:szCs w:val="24"/>
      <w:lang w:val="en-US" w:eastAsia="zh-CN" w:bidi="ar-SA"/>
    </w:rPr>
  </w:style>
  <w:style w:type="character" w:customStyle="1" w:styleId="164">
    <w:name w:val="页眉 Char"/>
    <w:qFormat/>
    <w:uiPriority w:val="0"/>
    <w:rPr>
      <w:rFonts w:eastAsia="宋体"/>
      <w:kern w:val="2"/>
      <w:sz w:val="18"/>
      <w:szCs w:val="18"/>
      <w:lang w:val="en-US" w:eastAsia="zh-CN" w:bidi="ar-SA"/>
    </w:rPr>
  </w:style>
  <w:style w:type="character" w:customStyle="1" w:styleId="165">
    <w:name w:val="文档结构图 Char"/>
    <w:qFormat/>
    <w:uiPriority w:val="0"/>
    <w:rPr>
      <w:rFonts w:eastAsia="宋体"/>
      <w:sz w:val="21"/>
      <w:szCs w:val="21"/>
      <w:lang w:val="zh-CN" w:eastAsia="zh-CN" w:bidi="ar-SA"/>
    </w:rPr>
  </w:style>
  <w:style w:type="character" w:customStyle="1" w:styleId="166">
    <w:name w:val="正文文本 Char"/>
    <w:qFormat/>
    <w:uiPriority w:val="0"/>
    <w:rPr>
      <w:rFonts w:eastAsia="宋体"/>
      <w:sz w:val="24"/>
      <w:lang w:val="zh-CN" w:eastAsia="zh-CN" w:bidi="ar-SA"/>
    </w:rPr>
  </w:style>
  <w:style w:type="character" w:customStyle="1" w:styleId="167">
    <w:name w:val="样式2 Char1"/>
    <w:link w:val="143"/>
    <w:qFormat/>
    <w:uiPriority w:val="0"/>
    <w:rPr>
      <w:sz w:val="24"/>
    </w:rPr>
  </w:style>
  <w:style w:type="character" w:customStyle="1" w:styleId="168">
    <w:name w:val="正文文本缩进 Char"/>
    <w:qFormat/>
    <w:uiPriority w:val="0"/>
    <w:rPr>
      <w:rFonts w:eastAsia="宋体"/>
      <w:kern w:val="2"/>
      <w:sz w:val="21"/>
      <w:szCs w:val="24"/>
      <w:lang w:val="en-US" w:eastAsia="zh-CN" w:bidi="ar-SA"/>
    </w:rPr>
  </w:style>
  <w:style w:type="paragraph" w:customStyle="1" w:styleId="169">
    <w:name w:val="样式"/>
    <w:link w:val="170"/>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70">
    <w:name w:val="样式 Char"/>
    <w:link w:val="169"/>
    <w:qFormat/>
    <w:uiPriority w:val="0"/>
    <w:rPr>
      <w:rFonts w:ascii="宋体" w:hAnsi="宋体" w:cs="宋体"/>
      <w:sz w:val="24"/>
      <w:szCs w:val="24"/>
    </w:rPr>
  </w:style>
  <w:style w:type="character" w:customStyle="1" w:styleId="171">
    <w:name w:val="样式1 Char"/>
    <w:link w:val="128"/>
    <w:qFormat/>
    <w:uiPriority w:val="0"/>
    <w:rPr>
      <w:rFonts w:ascii="宋体"/>
      <w:sz w:val="24"/>
      <w:szCs w:val="24"/>
    </w:rPr>
  </w:style>
  <w:style w:type="character" w:customStyle="1" w:styleId="172">
    <w:name w:val="正文1 Char"/>
    <w:link w:val="127"/>
    <w:qFormat/>
    <w:uiPriority w:val="0"/>
    <w:rPr>
      <w:rFonts w:ascii="宋体"/>
      <w:sz w:val="24"/>
    </w:rPr>
  </w:style>
  <w:style w:type="character" w:customStyle="1" w:styleId="173">
    <w:name w:val="批注框文本 Char"/>
    <w:qFormat/>
    <w:uiPriority w:val="0"/>
    <w:rPr>
      <w:rFonts w:eastAsia="宋体"/>
      <w:kern w:val="2"/>
      <w:sz w:val="18"/>
      <w:szCs w:val="18"/>
      <w:lang w:val="en-US" w:eastAsia="zh-CN" w:bidi="ar-SA"/>
    </w:rPr>
  </w:style>
  <w:style w:type="character" w:customStyle="1" w:styleId="174">
    <w:name w:val="正文文本缩进 2 Char"/>
    <w:link w:val="175"/>
    <w:qFormat/>
    <w:uiPriority w:val="0"/>
    <w:rPr>
      <w:sz w:val="24"/>
    </w:rPr>
  </w:style>
  <w:style w:type="paragraph" w:customStyle="1" w:styleId="175">
    <w:name w:val="正文文本缩进 21"/>
    <w:basedOn w:val="1"/>
    <w:link w:val="174"/>
    <w:qFormat/>
    <w:uiPriority w:val="0"/>
    <w:pPr>
      <w:ind w:firstLine="840"/>
    </w:pPr>
    <w:rPr>
      <w:kern w:val="0"/>
      <w:sz w:val="24"/>
    </w:rPr>
  </w:style>
  <w:style w:type="character" w:customStyle="1" w:styleId="176">
    <w:name w:val="标书正文 Char Char"/>
    <w:link w:val="177"/>
    <w:qFormat/>
    <w:uiPriority w:val="0"/>
    <w:rPr>
      <w:kern w:val="2"/>
      <w:sz w:val="24"/>
      <w:szCs w:val="24"/>
    </w:rPr>
  </w:style>
  <w:style w:type="paragraph" w:customStyle="1" w:styleId="177">
    <w:name w:val="标书正文"/>
    <w:basedOn w:val="1"/>
    <w:link w:val="176"/>
    <w:qFormat/>
    <w:uiPriority w:val="0"/>
    <w:pPr>
      <w:spacing w:line="360" w:lineRule="auto"/>
      <w:ind w:firstLine="200" w:firstLineChars="200"/>
      <w:jc w:val="left"/>
    </w:pPr>
    <w:rPr>
      <w:sz w:val="24"/>
      <w:szCs w:val="24"/>
    </w:rPr>
  </w:style>
  <w:style w:type="character" w:customStyle="1" w:styleId="178">
    <w:name w:val="二级标题 Char Char"/>
    <w:link w:val="179"/>
    <w:qFormat/>
    <w:uiPriority w:val="0"/>
    <w:rPr>
      <w:rFonts w:ascii="宋体"/>
      <w:bCs/>
      <w:color w:val="000000"/>
      <w:sz w:val="24"/>
      <w:szCs w:val="24"/>
    </w:rPr>
  </w:style>
  <w:style w:type="paragraph" w:customStyle="1" w:styleId="179">
    <w:name w:val="二级标题"/>
    <w:basedOn w:val="1"/>
    <w:link w:val="178"/>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80">
    <w:name w:val="样式 标题 1b1章节标题章标题 1-*+h11st levelSection Headl1 + 四号 Char Char"/>
    <w:link w:val="181"/>
    <w:qFormat/>
    <w:uiPriority w:val="0"/>
    <w:rPr>
      <w:b/>
      <w:bCs/>
      <w:color w:val="000000"/>
      <w:kern w:val="44"/>
      <w:sz w:val="28"/>
      <w:szCs w:val="28"/>
    </w:rPr>
  </w:style>
  <w:style w:type="paragraph" w:customStyle="1" w:styleId="181">
    <w:name w:val="样式 标题 1b1章节标题章标题 1-*+h11st levelSection Headl1 + 四号"/>
    <w:basedOn w:val="182"/>
    <w:link w:val="180"/>
    <w:qFormat/>
    <w:uiPriority w:val="0"/>
    <w:pPr>
      <w:tabs>
        <w:tab w:val="left" w:leader="dot" w:pos="0"/>
        <w:tab w:val="left" w:pos="900"/>
      </w:tabs>
      <w:spacing w:before="0"/>
      <w:ind w:left="0" w:firstLine="0"/>
    </w:pPr>
    <w:rPr>
      <w:bCs/>
      <w:color w:val="000000"/>
      <w:szCs w:val="28"/>
    </w:rPr>
  </w:style>
  <w:style w:type="paragraph" w:customStyle="1" w:styleId="182">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83">
    <w:name w:val="YJB1 Char Char"/>
    <w:link w:val="184"/>
    <w:qFormat/>
    <w:uiPriority w:val="0"/>
    <w:rPr>
      <w:rFonts w:ascii="Arial" w:hAnsi="Arial"/>
      <w:kern w:val="2"/>
      <w:sz w:val="24"/>
      <w:szCs w:val="24"/>
    </w:rPr>
  </w:style>
  <w:style w:type="paragraph" w:customStyle="1" w:styleId="184">
    <w:name w:val="YJB1"/>
    <w:basedOn w:val="1"/>
    <w:link w:val="183"/>
    <w:qFormat/>
    <w:uiPriority w:val="0"/>
    <w:pPr>
      <w:spacing w:line="360" w:lineRule="auto"/>
      <w:ind w:left="450" w:leftChars="450"/>
    </w:pPr>
    <w:rPr>
      <w:rFonts w:ascii="Arial" w:hAnsi="Arial"/>
      <w:sz w:val="24"/>
      <w:szCs w:val="24"/>
    </w:rPr>
  </w:style>
  <w:style w:type="character" w:customStyle="1" w:styleId="185">
    <w:name w:val="YJB2 Char Char"/>
    <w:link w:val="186"/>
    <w:qFormat/>
    <w:uiPriority w:val="0"/>
    <w:rPr>
      <w:rFonts w:ascii="Arial" w:hAnsi="Arial"/>
      <w:kern w:val="2"/>
      <w:sz w:val="24"/>
      <w:szCs w:val="24"/>
    </w:rPr>
  </w:style>
  <w:style w:type="paragraph" w:customStyle="1" w:styleId="186">
    <w:name w:val="YJB2"/>
    <w:basedOn w:val="1"/>
    <w:link w:val="185"/>
    <w:qFormat/>
    <w:uiPriority w:val="0"/>
    <w:pPr>
      <w:spacing w:line="360" w:lineRule="auto"/>
      <w:ind w:left="450" w:hanging="450" w:hangingChars="450"/>
    </w:pPr>
    <w:rPr>
      <w:rFonts w:ascii="Arial" w:hAnsi="Arial"/>
      <w:sz w:val="24"/>
      <w:szCs w:val="24"/>
    </w:rPr>
  </w:style>
  <w:style w:type="character" w:customStyle="1" w:styleId="187">
    <w:name w:val="样式 标题 1章节标题 + 三号 Char Char"/>
    <w:link w:val="188"/>
    <w:qFormat/>
    <w:uiPriority w:val="0"/>
    <w:rPr>
      <w:b/>
      <w:bCs/>
      <w:kern w:val="44"/>
      <w:sz w:val="32"/>
      <w:szCs w:val="44"/>
    </w:rPr>
  </w:style>
  <w:style w:type="paragraph" w:customStyle="1" w:styleId="188">
    <w:name w:val="样式 标题 1章节标题 + 三号"/>
    <w:basedOn w:val="2"/>
    <w:link w:val="187"/>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189">
    <w:name w:val="正文文本缩进 22"/>
    <w:basedOn w:val="1"/>
    <w:qFormat/>
    <w:uiPriority w:val="0"/>
    <w:pPr>
      <w:ind w:firstLine="840"/>
    </w:pPr>
    <w:rPr>
      <w:kern w:val="0"/>
      <w:sz w:val="24"/>
      <w:lang w:val="zh-CN" w:eastAsia="zh-CN"/>
    </w:rPr>
  </w:style>
  <w:style w:type="paragraph" w:customStyle="1" w:styleId="190">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191">
    <w:name w:val="正文文本 3 字符"/>
    <w:basedOn w:val="50"/>
    <w:link w:val="19"/>
    <w:qFormat/>
    <w:uiPriority w:val="0"/>
    <w:rPr>
      <w:kern w:val="2"/>
      <w:sz w:val="16"/>
      <w:szCs w:val="16"/>
    </w:rPr>
  </w:style>
  <w:style w:type="character" w:customStyle="1" w:styleId="192">
    <w:name w:val="信息标题 字符"/>
    <w:basedOn w:val="50"/>
    <w:link w:val="41"/>
    <w:qFormat/>
    <w:uiPriority w:val="0"/>
    <w:rPr>
      <w:rFonts w:ascii="Arial" w:hAnsi="Arial"/>
      <w:spacing w:val="-5"/>
    </w:rPr>
  </w:style>
  <w:style w:type="paragraph" w:customStyle="1" w:styleId="193">
    <w:name w:val="日期2"/>
    <w:basedOn w:val="1"/>
    <w:next w:val="1"/>
    <w:qFormat/>
    <w:uiPriority w:val="0"/>
    <w:pPr>
      <w:adjustRightInd w:val="0"/>
      <w:spacing w:line="312" w:lineRule="atLeast"/>
      <w:textAlignment w:val="baseline"/>
    </w:pPr>
    <w:rPr>
      <w:kern w:val="0"/>
      <w:sz w:val="28"/>
      <w:szCs w:val="28"/>
    </w:rPr>
  </w:style>
  <w:style w:type="paragraph" w:customStyle="1" w:styleId="194">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195">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196">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98">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199">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00">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0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0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5">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07">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08">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09">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10">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11">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12">
    <w:name w:val="Char2"/>
    <w:basedOn w:val="1"/>
    <w:qFormat/>
    <w:uiPriority w:val="0"/>
    <w:pPr>
      <w:adjustRightInd w:val="0"/>
      <w:spacing w:line="360" w:lineRule="atLeast"/>
    </w:pPr>
    <w:rPr>
      <w:szCs w:val="24"/>
    </w:rPr>
  </w:style>
  <w:style w:type="paragraph" w:customStyle="1" w:styleId="213">
    <w:name w:val="列出段落"/>
    <w:basedOn w:val="1"/>
    <w:qFormat/>
    <w:uiPriority w:val="0"/>
    <w:pPr>
      <w:ind w:firstLine="420" w:firstLineChars="200"/>
    </w:pPr>
    <w:rPr>
      <w:rFonts w:ascii="Calibri" w:hAnsi="Calibri"/>
      <w:szCs w:val="22"/>
    </w:rPr>
  </w:style>
  <w:style w:type="paragraph" w:customStyle="1" w:styleId="214">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15">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16">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17">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18">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19">
    <w:name w:val="Char Char Char Char Char Char Char1"/>
    <w:basedOn w:val="1"/>
    <w:qFormat/>
    <w:uiPriority w:val="0"/>
    <w:rPr>
      <w:szCs w:val="24"/>
    </w:rPr>
  </w:style>
  <w:style w:type="paragraph" w:customStyle="1" w:styleId="220">
    <w:name w:val="Char Char Char Char Char Char Char Char Char1"/>
    <w:basedOn w:val="1"/>
    <w:qFormat/>
    <w:uiPriority w:val="0"/>
    <w:rPr>
      <w:szCs w:val="24"/>
    </w:rPr>
  </w:style>
  <w:style w:type="paragraph" w:customStyle="1" w:styleId="221">
    <w:name w:val="纯文本3"/>
    <w:basedOn w:val="1"/>
    <w:qFormat/>
    <w:uiPriority w:val="0"/>
    <w:pPr>
      <w:adjustRightInd w:val="0"/>
      <w:textAlignment w:val="baseline"/>
    </w:pPr>
    <w:rPr>
      <w:rFonts w:ascii="宋体" w:hAnsi="Courier New"/>
    </w:rPr>
  </w:style>
  <w:style w:type="paragraph" w:customStyle="1" w:styleId="222">
    <w:name w:val="样式20"/>
    <w:basedOn w:val="44"/>
    <w:next w:val="44"/>
    <w:qFormat/>
    <w:uiPriority w:val="0"/>
    <w:pPr>
      <w:spacing w:line="360" w:lineRule="auto"/>
      <w:jc w:val="both"/>
      <w:textAlignment w:val="auto"/>
    </w:pPr>
  </w:style>
  <w:style w:type="paragraph" w:customStyle="1" w:styleId="223">
    <w:name w:val="Char Char Char Char Char Char Char Char Char Char Char Char Char1"/>
    <w:basedOn w:val="1"/>
    <w:qFormat/>
    <w:uiPriority w:val="0"/>
    <w:rPr>
      <w:szCs w:val="24"/>
    </w:rPr>
  </w:style>
  <w:style w:type="paragraph" w:customStyle="1" w:styleId="224">
    <w:name w:val="Char1 Char Char Char1"/>
    <w:basedOn w:val="1"/>
    <w:semiHidden/>
    <w:qFormat/>
    <w:uiPriority w:val="0"/>
    <w:pPr>
      <w:snapToGrid w:val="0"/>
      <w:spacing w:line="440" w:lineRule="atLeast"/>
    </w:pPr>
    <w:rPr>
      <w:rFonts w:ascii="宋体"/>
      <w:sz w:val="24"/>
      <w:szCs w:val="24"/>
    </w:rPr>
  </w:style>
  <w:style w:type="paragraph" w:customStyle="1" w:styleId="225">
    <w:name w:val="*正文_0"/>
    <w:basedOn w:val="1"/>
    <w:next w:val="1"/>
    <w:qFormat/>
    <w:uiPriority w:val="0"/>
    <w:pPr>
      <w:widowControl/>
      <w:ind w:firstLine="482"/>
    </w:pPr>
    <w:rPr>
      <w:rFonts w:ascii="微软雅黑" w:hAnsi="微软雅黑" w:eastAsia="微软雅黑"/>
      <w:kern w:val="0"/>
    </w:rPr>
  </w:style>
  <w:style w:type="character" w:customStyle="1" w:styleId="226">
    <w:name w:val="font21"/>
    <w:qFormat/>
    <w:uiPriority w:val="0"/>
    <w:rPr>
      <w:rFonts w:hint="eastAsia" w:ascii="仿宋_GB2312" w:eastAsia="仿宋_GB2312"/>
      <w:color w:val="000000"/>
      <w:sz w:val="24"/>
      <w:szCs w:val="24"/>
      <w:u w:val="none"/>
    </w:rPr>
  </w:style>
  <w:style w:type="paragraph" w:customStyle="1" w:styleId="227">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228">
    <w:name w:val="正文_2"/>
    <w:qFormat/>
    <w:uiPriority w:val="0"/>
    <w:pPr>
      <w:widowControl w:val="0"/>
      <w:jc w:val="both"/>
    </w:pPr>
    <w:rPr>
      <w:rFonts w:ascii="经典长宋简" w:hAnsi="经典长宋简" w:eastAsia="宋体" w:cs="经典长宋简"/>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436E6-A5EE-401E-A0AB-322F7A7475A6}">
  <ds:schemaRefs/>
</ds:datastoreItem>
</file>

<file path=docProps/app.xml><?xml version="1.0" encoding="utf-8"?>
<Properties xmlns="http://schemas.openxmlformats.org/officeDocument/2006/extended-properties" xmlns:vt="http://schemas.openxmlformats.org/officeDocument/2006/docPropsVTypes">
  <Template>Normal</Template>
  <Pages>28</Pages>
  <Words>15400</Words>
  <Characters>16543</Characters>
  <Lines>87</Lines>
  <Paragraphs>24</Paragraphs>
  <TotalTime>12</TotalTime>
  <ScaleCrop>false</ScaleCrop>
  <LinksUpToDate>false</LinksUpToDate>
  <CharactersWithSpaces>17698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2024-12-27T06:26:00Z</cp:lastPrinted>
  <dcterms:modified xsi:type="dcterms:W3CDTF">2026-07-27T09:15:41Z</dcterms:modified>
  <dc:title>一、标书制作要求：</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A642233F0224462EB3C76D1F4C5D0D7D_12</vt:lpwstr>
  </property>
</Properties>
</file>